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0DF031D7" w:rsidR="0077180D" w:rsidRDefault="003F4389" w:rsidP="00546C9D">
      <w:r>
        <w:rPr>
          <w:rFonts w:hint="eastAsia"/>
          <w:lang w:eastAsia="zh-CN"/>
        </w:rPr>
        <w:t>11:373:</w:t>
      </w:r>
      <w:r w:rsidR="00050BF1">
        <w:rPr>
          <w:lang w:eastAsia="zh-CN"/>
        </w:rPr>
        <w:t>3</w:t>
      </w:r>
      <w:r w:rsidR="0094481D">
        <w:rPr>
          <w:lang w:eastAsia="zh-CN"/>
        </w:rPr>
        <w:t>6</w:t>
      </w:r>
      <w:r w:rsidR="00050BF1">
        <w:rPr>
          <w:lang w:eastAsia="zh-CN"/>
        </w:rPr>
        <w:t>1</w:t>
      </w:r>
    </w:p>
    <w:p w14:paraId="3D009C46" w14:textId="7FC588F2" w:rsidR="00D5095E" w:rsidRDefault="0094481D" w:rsidP="00546C9D">
      <w:pPr>
        <w:rPr>
          <w:rFonts w:eastAsiaTheme="majorEastAsia" w:cstheme="majorBidi"/>
          <w:b/>
          <w:color w:val="000000" w:themeColor="text1"/>
          <w:sz w:val="36"/>
          <w:szCs w:val="32"/>
        </w:rPr>
      </w:pPr>
      <w:r>
        <w:rPr>
          <w:rFonts w:eastAsiaTheme="majorEastAsia" w:cstheme="majorBidi"/>
          <w:b/>
          <w:color w:val="000000" w:themeColor="text1"/>
          <w:sz w:val="36"/>
          <w:szCs w:val="32"/>
        </w:rPr>
        <w:t xml:space="preserve">Land </w:t>
      </w:r>
      <w:r w:rsidR="00050BF1">
        <w:rPr>
          <w:rFonts w:eastAsiaTheme="majorEastAsia" w:cstheme="majorBidi"/>
          <w:b/>
          <w:color w:val="000000" w:themeColor="text1"/>
          <w:sz w:val="36"/>
          <w:szCs w:val="32"/>
        </w:rPr>
        <w:t>Economics</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02648EF5" w:rsidR="00A3101E" w:rsidRDefault="009F55C8">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94481D" w:rsidRPr="0094481D">
        <w:t>11:373:101 or 11:373:121 or 01:220:102</w:t>
      </w:r>
    </w:p>
    <w:p w14:paraId="4A66BA0A" w14:textId="44482C43" w:rsidR="00C82031" w:rsidRDefault="00C82031">
      <w:pPr>
        <w:rPr>
          <w:lang w:eastAsia="zh-CN"/>
        </w:rPr>
      </w:pPr>
      <w:r w:rsidRPr="00C82031">
        <w:rPr>
          <w:lang w:eastAsia="zh-CN"/>
        </w:rPr>
        <w:t>Format: Asynchronous online</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0A3897F9"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94481D" w:rsidRPr="0094481D">
        <w:rPr>
          <w:bCs/>
        </w:rPr>
        <w:t>Edmund Tavernier</w:t>
      </w:r>
      <w:r w:rsidR="005700B5">
        <w:rPr>
          <w:bCs/>
        </w:rPr>
        <w:br/>
      </w:r>
      <w:r w:rsidR="005700B5" w:rsidRPr="005700B5">
        <w:rPr>
          <w:rStyle w:val="Style2"/>
          <w:lang w:eastAsia="zh-CN"/>
        </w:rPr>
        <w:t xml:space="preserve">Email: </w:t>
      </w:r>
      <w:r w:rsidR="0094481D" w:rsidRPr="0094481D">
        <w:rPr>
          <w:rStyle w:val="Style2"/>
          <w:lang w:eastAsia="zh-CN"/>
        </w:rPr>
        <w:t>etaverni@sebs.rutgers.edu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59B35044" w14:textId="22BD3B73" w:rsidR="00050BF1" w:rsidRDefault="00F21638" w:rsidP="00F21638">
      <w:pPr>
        <w:pStyle w:val="ListParagraph"/>
        <w:numPr>
          <w:ilvl w:val="0"/>
          <w:numId w:val="3"/>
        </w:numPr>
      </w:pPr>
      <w:r w:rsidRPr="00F21638">
        <w:t>There is no assigned textbook for this course. All course material will be developed from relevant sources and posted on Canvas.</w:t>
      </w:r>
    </w:p>
    <w:p w14:paraId="66EBD146" w14:textId="77777777" w:rsidR="00F21638" w:rsidRPr="00596B94" w:rsidRDefault="00F21638" w:rsidP="00050BF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A7070E8" w14:textId="558FCC4E" w:rsidR="00050BF1" w:rsidRDefault="00F21638" w:rsidP="00596B94">
      <w:pPr>
        <w:rPr>
          <w:lang w:eastAsia="zh-CN"/>
        </w:rPr>
      </w:pPr>
      <w:r w:rsidRPr="00F21638">
        <w:rPr>
          <w:lang w:eastAsia="zh-CN"/>
        </w:rPr>
        <w:t>This course focuses on some key aspects of land use from a policy perspective.  In particular, the topics address the theory and analysis of land rent, land evaluation, efficiency of land as an input into the production process, property rights, land-based institutions, and demand aspects of land and land-based resources.  The goal is to provide a broad overview of the problems related to land use and an appreciation of land as a social and natural resource.</w:t>
      </w:r>
    </w:p>
    <w:p w14:paraId="2410D19B" w14:textId="77777777" w:rsidR="00F21638" w:rsidRPr="005700B5" w:rsidRDefault="00F21638" w:rsidP="00596B94">
      <w:pPr>
        <w:rPr>
          <w:lang w:eastAsia="zh-CN"/>
        </w:rPr>
      </w:pPr>
    </w:p>
    <w:p w14:paraId="4AAA1A95" w14:textId="3445F4B6" w:rsidR="00596B94" w:rsidRDefault="00A07477" w:rsidP="00F21638">
      <w:pPr>
        <w:pStyle w:val="Heading2"/>
      </w:pPr>
      <w:r>
        <w:t>L</w:t>
      </w:r>
      <w:r w:rsidR="00AA286F">
        <w:t>earning Goals</w:t>
      </w:r>
    </w:p>
    <w:p w14:paraId="3220B23B" w14:textId="77777777" w:rsidR="00F21638" w:rsidRDefault="00F21638" w:rsidP="00F21638">
      <w:r>
        <w:t xml:space="preserve">The course aims to achieve the attainment of learning goals through the following specific objectives.  By the end of the course students will be able to: </w:t>
      </w:r>
    </w:p>
    <w:p w14:paraId="2B624AF1" w14:textId="3773DA48" w:rsidR="00F21638" w:rsidRDefault="00F21638" w:rsidP="00F21638"/>
    <w:p w14:paraId="74E1BA4B" w14:textId="77777777" w:rsidR="00F21638" w:rsidRDefault="00F21638" w:rsidP="00F21638">
      <w:r>
        <w:t>•</w:t>
      </w:r>
      <w:r>
        <w:tab/>
        <w:t>Analyze the basic aspects of land management and evaluation.</w:t>
      </w:r>
    </w:p>
    <w:p w14:paraId="12B4B8AC" w14:textId="77777777" w:rsidR="00F21638" w:rsidRDefault="00F21638" w:rsidP="00F21638">
      <w:r>
        <w:t>•</w:t>
      </w:r>
      <w:r>
        <w:tab/>
        <w:t>Identify public policies affecting land use.</w:t>
      </w:r>
    </w:p>
    <w:p w14:paraId="3A1D67D7" w14:textId="77777777" w:rsidR="00F21638" w:rsidRDefault="00F21638" w:rsidP="00F21638">
      <w:r>
        <w:t>•</w:t>
      </w:r>
      <w:r>
        <w:tab/>
        <w:t>Provide key elements in effective land use planning.</w:t>
      </w:r>
    </w:p>
    <w:p w14:paraId="15257647" w14:textId="77777777" w:rsidR="00F21638" w:rsidRDefault="00F21638" w:rsidP="00F21638">
      <w:r>
        <w:t>•</w:t>
      </w:r>
      <w:r>
        <w:tab/>
        <w:t>Articulate concepts and considerations involved in public land management.</w:t>
      </w:r>
    </w:p>
    <w:p w14:paraId="59374D18" w14:textId="77777777" w:rsidR="00F21638" w:rsidRDefault="00F21638" w:rsidP="00F21638">
      <w:r>
        <w:t>•</w:t>
      </w:r>
      <w:r>
        <w:tab/>
        <w:t xml:space="preserve"> Gain a basic understanding of land rent and economic welfare.</w:t>
      </w:r>
    </w:p>
    <w:p w14:paraId="2755D7DD" w14:textId="3995809D" w:rsidR="00F21638" w:rsidRDefault="00F21638" w:rsidP="00F21638">
      <w:r>
        <w:t>•</w:t>
      </w:r>
      <w:r>
        <w:tab/>
        <w:t>Examine land in the production context.</w:t>
      </w:r>
    </w:p>
    <w:p w14:paraId="7368C156" w14:textId="77777777" w:rsidR="00F21638" w:rsidRPr="00F21638" w:rsidRDefault="00F21638" w:rsidP="00F21638"/>
    <w:p w14:paraId="52322040" w14:textId="509A8844" w:rsidR="00A3101E" w:rsidRDefault="00A07477" w:rsidP="00AA286F">
      <w:pPr>
        <w:pStyle w:val="Heading2"/>
      </w:pPr>
      <w:r>
        <w:t>A</w:t>
      </w:r>
      <w:r w:rsidR="00AA286F">
        <w:t>ssignments/Responsibilities, Grading &amp; Assessment</w:t>
      </w:r>
    </w:p>
    <w:p w14:paraId="2408A308" w14:textId="77777777" w:rsidR="006E415C" w:rsidRDefault="006E415C" w:rsidP="006E415C">
      <w:pPr>
        <w:rPr>
          <w:b/>
        </w:rPr>
      </w:pPr>
    </w:p>
    <w:p w14:paraId="42581C6D" w14:textId="17A8065C" w:rsidR="006E415C" w:rsidRPr="006E415C" w:rsidRDefault="006E415C" w:rsidP="006E415C">
      <w:pPr>
        <w:rPr>
          <w:b/>
        </w:rPr>
      </w:pPr>
      <w:r w:rsidRPr="006E415C">
        <w:rPr>
          <w:b/>
        </w:rPr>
        <w:t>Grading Structure</w:t>
      </w:r>
    </w:p>
    <w:p w14:paraId="49475C7C" w14:textId="77777777" w:rsidR="006E415C" w:rsidRPr="006E415C" w:rsidRDefault="006E415C" w:rsidP="006E415C"/>
    <w:p w14:paraId="51B3E78C" w14:textId="77777777" w:rsidR="006E415C" w:rsidRPr="006E415C" w:rsidRDefault="006E415C" w:rsidP="006E415C">
      <w:r w:rsidRPr="006E415C">
        <w:t>The grades for the course will be based on the following: exams – 60%; participation in forums – 20%; and assignments – 20%.  There may be opportunities to earn a maximum of 5 extra points.</w:t>
      </w:r>
    </w:p>
    <w:p w14:paraId="7DC6D247" w14:textId="77777777" w:rsidR="006E415C" w:rsidRPr="006E415C" w:rsidRDefault="006E415C" w:rsidP="006E415C"/>
    <w:p w14:paraId="4F7DE7A0" w14:textId="77777777" w:rsidR="006E415C" w:rsidRPr="006E415C" w:rsidRDefault="006E415C" w:rsidP="006E415C">
      <w:pPr>
        <w:rPr>
          <w:b/>
          <w:bCs/>
        </w:rPr>
      </w:pPr>
      <w:r w:rsidRPr="006E415C">
        <w:rPr>
          <w:b/>
          <w:bCs/>
        </w:rPr>
        <w:t xml:space="preserve">Assessment of Goals </w:t>
      </w:r>
    </w:p>
    <w:p w14:paraId="2C2BCC74" w14:textId="77777777" w:rsidR="006E415C" w:rsidRPr="006E415C" w:rsidRDefault="006E415C" w:rsidP="006E415C">
      <w:pPr>
        <w:rPr>
          <w:b/>
          <w:bCs/>
        </w:rPr>
      </w:pPr>
    </w:p>
    <w:p w14:paraId="274F4420" w14:textId="77777777" w:rsidR="006E415C" w:rsidRPr="006E415C" w:rsidRDefault="006E415C" w:rsidP="006E415C">
      <w:pPr>
        <w:rPr>
          <w:bCs/>
        </w:rPr>
      </w:pPr>
      <w:r w:rsidRPr="006E415C">
        <w:rPr>
          <w:bCs/>
        </w:rPr>
        <w:t xml:space="preserve">The goals of this course are assessed through a combination of the above grading structure. The </w:t>
      </w:r>
      <w:proofErr w:type="gramStart"/>
      <w:r w:rsidRPr="006E415C">
        <w:rPr>
          <w:bCs/>
        </w:rPr>
        <w:t>rubrics</w:t>
      </w:r>
      <w:proofErr w:type="gramEnd"/>
      <w:r w:rsidRPr="006E415C">
        <w:rPr>
          <w:bCs/>
        </w:rPr>
        <w:t xml:space="preserve"> for the discussions and assignments are provided in the Exhibits. There will be three (3) multiple-choice exams; four (4) case studies for discussion (see Exhibit D); and three (3) homework assignments (see Exhibit C).  It is my full intent, in assessing those goals, to ensure that students from diverse backgrounds who bring different perspectives to the course are well-served and to </w:t>
      </w:r>
      <w:proofErr w:type="gramStart"/>
      <w:r w:rsidRPr="006E415C">
        <w:rPr>
          <w:bCs/>
        </w:rPr>
        <w:t>view that</w:t>
      </w:r>
      <w:proofErr w:type="gramEnd"/>
      <w:r w:rsidRPr="006E415C">
        <w:rPr>
          <w:bCs/>
        </w:rPr>
        <w:t xml:space="preserve"> diversity as a resource, strength, and benefit in the assessment.   </w:t>
      </w:r>
    </w:p>
    <w:p w14:paraId="26F54C21" w14:textId="77777777" w:rsidR="006E415C" w:rsidRPr="006E415C" w:rsidRDefault="006E415C" w:rsidP="006E415C">
      <w:pPr>
        <w:rPr>
          <w:b/>
          <w:bCs/>
        </w:rPr>
      </w:pPr>
    </w:p>
    <w:p w14:paraId="2B7652ED" w14:textId="77777777" w:rsidR="006E415C" w:rsidRPr="006E415C" w:rsidRDefault="006E415C" w:rsidP="006E415C">
      <w:pPr>
        <w:rPr>
          <w:b/>
          <w:bCs/>
        </w:rPr>
      </w:pPr>
      <w:r w:rsidRPr="006E415C">
        <w:rPr>
          <w:b/>
          <w:bCs/>
        </w:rPr>
        <w:t>Assessment Details</w:t>
      </w:r>
    </w:p>
    <w:p w14:paraId="755805C4" w14:textId="77777777" w:rsidR="006E415C" w:rsidRPr="006E415C" w:rsidRDefault="006E415C" w:rsidP="006E415C">
      <w:pPr>
        <w:rPr>
          <w:bCs/>
        </w:rPr>
      </w:pPr>
    </w:p>
    <w:p w14:paraId="4CE22ED5" w14:textId="77777777" w:rsidR="006E415C" w:rsidRPr="006E415C" w:rsidRDefault="006E415C" w:rsidP="006E415C">
      <w:pPr>
        <w:rPr>
          <w:bCs/>
        </w:rPr>
      </w:pPr>
      <w:r w:rsidRPr="006E415C">
        <w:rPr>
          <w:b/>
          <w:bCs/>
        </w:rPr>
        <w:t>Exams</w:t>
      </w:r>
      <w:r w:rsidRPr="006E415C">
        <w:rPr>
          <w:bCs/>
        </w:rPr>
        <w:t>: There will be three (3) multiple choice exams designed to test students’ understanding of the concepts identified in the learning goals.</w:t>
      </w:r>
    </w:p>
    <w:p w14:paraId="1C2B7A52" w14:textId="77777777" w:rsidR="006E415C" w:rsidRPr="006E415C" w:rsidRDefault="006E415C" w:rsidP="006E415C">
      <w:pPr>
        <w:rPr>
          <w:bCs/>
        </w:rPr>
      </w:pPr>
    </w:p>
    <w:p w14:paraId="4B006691" w14:textId="77777777" w:rsidR="006E415C" w:rsidRPr="006E415C" w:rsidRDefault="006E415C" w:rsidP="006E415C">
      <w:pPr>
        <w:rPr>
          <w:bCs/>
        </w:rPr>
      </w:pPr>
      <w:r w:rsidRPr="006E415C">
        <w:rPr>
          <w:b/>
          <w:bCs/>
        </w:rPr>
        <w:t>Assignments</w:t>
      </w:r>
      <w:r w:rsidRPr="006E415C">
        <w:rPr>
          <w:bCs/>
        </w:rPr>
        <w:t xml:space="preserve">: There will also be three (3) written homework assignments. These assignments provide practical examples of issues involved in land-use planning, the competing interests for land resources, and serve to reinforce the concepts taught and provide further opportunity for assessment. In some cases, students must demonstrate (per rubric, see Exhibit B) that they understand the central thesis of the assignment and the basic concepts discussed therein, and provide, with clarity, theoretical foundations to support their arguments. </w:t>
      </w:r>
      <w:r w:rsidRPr="006E415C">
        <w:rPr>
          <w:b/>
        </w:rPr>
        <w:t>All work must be shown</w:t>
      </w:r>
      <w:r w:rsidRPr="006E415C">
        <w:rPr>
          <w:bCs/>
        </w:rPr>
        <w:t>.</w:t>
      </w:r>
    </w:p>
    <w:p w14:paraId="696BAD27" w14:textId="77777777" w:rsidR="006E415C" w:rsidRPr="006E415C" w:rsidRDefault="006E415C" w:rsidP="006E415C">
      <w:pPr>
        <w:rPr>
          <w:bCs/>
        </w:rPr>
      </w:pPr>
    </w:p>
    <w:p w14:paraId="62DEA142" w14:textId="77777777" w:rsidR="006E415C" w:rsidRPr="006E415C" w:rsidRDefault="006E415C" w:rsidP="006E415C">
      <w:pPr>
        <w:rPr>
          <w:bCs/>
        </w:rPr>
      </w:pPr>
      <w:r w:rsidRPr="006E415C">
        <w:rPr>
          <w:b/>
        </w:rPr>
        <w:t>Discussions:</w:t>
      </w:r>
      <w:r w:rsidRPr="006E415C">
        <w:t xml:space="preserve"> Four topics will be posted for discussion. The discussions will proceed as follows. Students will be expected to summarize the assigned article and post their summary on the Discussion Forum. Each student must also comment on the summary of another student.  Thus, each student will be expected to have at least two postings to the forum - a summary and a comment.  To ensure, however, that students receive at least 80% of their grade for the discussions, they should plan on contributing 4 posts per discussion. Greater participation will be rewarded.  The postings must demonstrate a grasp of the issues under discussion and be relevant, clearly communicated, and exhibit critical thinking skills (see rubric, Exhibit A for online discussion).</w:t>
      </w:r>
    </w:p>
    <w:p w14:paraId="11DD56FE" w14:textId="77777777" w:rsidR="006E415C" w:rsidRPr="006E415C" w:rsidRDefault="006E415C" w:rsidP="006E415C"/>
    <w:p w14:paraId="735F04F8" w14:textId="77777777" w:rsidR="006E415C" w:rsidRPr="006E415C" w:rsidRDefault="006E415C" w:rsidP="006E415C">
      <w:r w:rsidRPr="006E415C">
        <w:rPr>
          <w:b/>
        </w:rPr>
        <w:t>Extra Points</w:t>
      </w:r>
      <w:proofErr w:type="gramStart"/>
      <w:r w:rsidRPr="006E415C">
        <w:rPr>
          <w:b/>
        </w:rPr>
        <w:t>:</w:t>
      </w:r>
      <w:r w:rsidRPr="006E415C">
        <w:t xml:space="preserve">  Students</w:t>
      </w:r>
      <w:proofErr w:type="gramEnd"/>
      <w:r w:rsidRPr="006E415C">
        <w:t xml:space="preserve"> may be given the opportunity to gain extra points.  That opportunity will very often be related to recent events in the news.</w:t>
      </w:r>
    </w:p>
    <w:p w14:paraId="24554368" w14:textId="77777777" w:rsidR="00980D03" w:rsidRDefault="00980D03" w:rsidP="00596B94"/>
    <w:p w14:paraId="1D103207" w14:textId="77777777" w:rsidR="00050BF1" w:rsidRPr="00596B94" w:rsidRDefault="00050BF1"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677BEB37" w14:textId="77777777" w:rsidR="006E415C" w:rsidRPr="006E415C" w:rsidRDefault="006E415C" w:rsidP="006E415C">
      <w:pPr>
        <w:rPr>
          <w:b/>
          <w:bCs/>
        </w:rPr>
      </w:pPr>
      <w:r w:rsidRPr="006E415C">
        <w:rPr>
          <w:b/>
          <w:bCs/>
        </w:rPr>
        <w:t>LECTURE TOPICS:</w:t>
      </w:r>
    </w:p>
    <w:p w14:paraId="17FB7A58" w14:textId="77777777" w:rsidR="006E415C" w:rsidRPr="006E415C" w:rsidRDefault="006E415C" w:rsidP="006E415C">
      <w:pPr>
        <w:rPr>
          <w:bCs/>
        </w:rPr>
      </w:pPr>
      <w:r w:rsidRPr="006E415C">
        <w:rPr>
          <w:bCs/>
        </w:rPr>
        <w:t>The following is a list of lecture topics, some content areas, and the time interval that they will be covered.</w:t>
      </w:r>
    </w:p>
    <w:p w14:paraId="259141E2" w14:textId="77777777" w:rsidR="006E415C" w:rsidRPr="006E415C" w:rsidRDefault="006E415C" w:rsidP="006E415C">
      <w:pPr>
        <w:rPr>
          <w:bCs/>
        </w:rPr>
      </w:pPr>
    </w:p>
    <w:p w14:paraId="5099529E" w14:textId="7FA37D91" w:rsidR="006E415C" w:rsidRPr="006E415C" w:rsidRDefault="006E415C" w:rsidP="006E415C">
      <w:pPr>
        <w:rPr>
          <w:b/>
          <w:u w:val="single"/>
        </w:rPr>
      </w:pPr>
      <w:r w:rsidRPr="006E415C">
        <w:rPr>
          <w:bCs/>
        </w:rPr>
        <w:t xml:space="preserve"> </w:t>
      </w:r>
      <w:r w:rsidRPr="006E415C">
        <w:rPr>
          <w:b/>
          <w:u w:val="single"/>
        </w:rPr>
        <w:t>Week I - III</w:t>
      </w:r>
    </w:p>
    <w:p w14:paraId="2503573C" w14:textId="77777777" w:rsidR="006E415C" w:rsidRPr="006E415C" w:rsidRDefault="006E415C" w:rsidP="006E415C">
      <w:pPr>
        <w:numPr>
          <w:ilvl w:val="0"/>
          <w:numId w:val="59"/>
        </w:numPr>
      </w:pPr>
      <w:r w:rsidRPr="006E415C">
        <w:t>Introduction: An in-depth look at Land Economics</w:t>
      </w:r>
    </w:p>
    <w:p w14:paraId="0C36587D" w14:textId="77777777" w:rsidR="006E415C" w:rsidRPr="006E415C" w:rsidRDefault="006E415C" w:rsidP="006E415C">
      <w:r w:rsidRPr="006E415C">
        <w:tab/>
      </w:r>
      <w:r w:rsidRPr="006E415C">
        <w:tab/>
        <w:t>Perspectives on and conflicts in Land Economics: Van Kooten, pp 3-9</w:t>
      </w:r>
    </w:p>
    <w:p w14:paraId="1BED7606" w14:textId="77777777" w:rsidR="006E415C" w:rsidRPr="006E415C" w:rsidRDefault="006E415C" w:rsidP="006E415C">
      <w:r w:rsidRPr="006E415C">
        <w:tab/>
      </w:r>
      <w:r w:rsidRPr="006E415C">
        <w:tab/>
        <w:t>Land economics: Field 261-286</w:t>
      </w:r>
    </w:p>
    <w:p w14:paraId="7FD58A02" w14:textId="77777777" w:rsidR="006E415C" w:rsidRPr="006E415C" w:rsidRDefault="006E415C" w:rsidP="006E415C">
      <w:r w:rsidRPr="006E415C">
        <w:tab/>
      </w:r>
      <w:r w:rsidRPr="006E415C">
        <w:tab/>
        <w:t>Land, economic change, and economic doctrine: Castle.1, pp 21-37</w:t>
      </w:r>
    </w:p>
    <w:p w14:paraId="3E1C7A05" w14:textId="77777777" w:rsidR="006E415C" w:rsidRPr="006E415C" w:rsidRDefault="006E415C" w:rsidP="006E415C">
      <w:r w:rsidRPr="006E415C">
        <w:tab/>
      </w:r>
      <w:r w:rsidRPr="006E415C">
        <w:tab/>
        <w:t>An assessment of CES and Cobb-Douglas production functions: Miller pp 1-7</w:t>
      </w:r>
    </w:p>
    <w:p w14:paraId="6581DF11" w14:textId="77777777" w:rsidR="006E415C" w:rsidRPr="006E415C" w:rsidRDefault="006E415C" w:rsidP="006E415C">
      <w:r w:rsidRPr="006E415C">
        <w:tab/>
      </w:r>
    </w:p>
    <w:p w14:paraId="4257736E" w14:textId="77777777" w:rsidR="006E415C" w:rsidRPr="006E415C" w:rsidRDefault="006E415C" w:rsidP="006E415C">
      <w:pPr>
        <w:rPr>
          <w:b/>
          <w:u w:val="single"/>
        </w:rPr>
      </w:pPr>
      <w:r w:rsidRPr="006E415C">
        <w:rPr>
          <w:b/>
          <w:u w:val="single"/>
        </w:rPr>
        <w:t>Week IV- VI</w:t>
      </w:r>
    </w:p>
    <w:p w14:paraId="2FF41E26" w14:textId="77777777" w:rsidR="006E415C" w:rsidRPr="006E415C" w:rsidRDefault="006E415C" w:rsidP="006E415C">
      <w:pPr>
        <w:ind w:left="720"/>
      </w:pPr>
      <w:r w:rsidRPr="006E415C">
        <w:t>2</w:t>
      </w:r>
      <w:proofErr w:type="gramStart"/>
      <w:r w:rsidRPr="006E415C">
        <w:t>.  Supply</w:t>
      </w:r>
      <w:proofErr w:type="gramEnd"/>
      <w:r w:rsidRPr="006E415C">
        <w:t xml:space="preserve"> of land: legal definitions and land rents</w:t>
      </w:r>
    </w:p>
    <w:p w14:paraId="433573D1" w14:textId="77777777" w:rsidR="006E415C" w:rsidRPr="006E415C" w:rsidRDefault="006E415C" w:rsidP="006E415C">
      <w:pPr>
        <w:ind w:left="720"/>
      </w:pPr>
      <w:r w:rsidRPr="006E415C">
        <w:tab/>
        <w:t>The legal definition of properties: Barlowe1pdf, pp 40-43</w:t>
      </w:r>
    </w:p>
    <w:p w14:paraId="74A8F4DC" w14:textId="77777777" w:rsidR="006E415C" w:rsidRPr="006E415C" w:rsidRDefault="006E415C" w:rsidP="006E415C">
      <w:pPr>
        <w:ind w:left="720"/>
      </w:pPr>
      <w:r w:rsidRPr="006E415C">
        <w:tab/>
        <w:t>The economic determinants of land rent: Van Kooten, pp 15-29</w:t>
      </w:r>
    </w:p>
    <w:p w14:paraId="10C69742" w14:textId="77777777" w:rsidR="006E415C" w:rsidRPr="006E415C" w:rsidRDefault="006E415C" w:rsidP="006E415C">
      <w:pPr>
        <w:ind w:left="720"/>
      </w:pPr>
      <w:r w:rsidRPr="006E415C">
        <w:t>3</w:t>
      </w:r>
      <w:proofErr w:type="gramStart"/>
      <w:r w:rsidRPr="006E415C">
        <w:t>.  Externalities</w:t>
      </w:r>
      <w:proofErr w:type="gramEnd"/>
      <w:r w:rsidRPr="006E415C">
        <w:t>:</w:t>
      </w:r>
    </w:p>
    <w:p w14:paraId="2DA571DB" w14:textId="77777777" w:rsidR="006E415C" w:rsidRPr="006E415C" w:rsidRDefault="006E415C" w:rsidP="006E415C">
      <w:pPr>
        <w:ind w:left="720"/>
      </w:pPr>
      <w:r w:rsidRPr="006E415C">
        <w:t>Positive and negative externalities, role of property rights and Pigouvian taxes in negative externalities: Hackett, pp 58 - 78</w:t>
      </w:r>
    </w:p>
    <w:p w14:paraId="3F0D9ED9" w14:textId="77777777" w:rsidR="006E415C" w:rsidRPr="006E415C" w:rsidRDefault="006E415C" w:rsidP="006E415C">
      <w:pPr>
        <w:ind w:left="720"/>
      </w:pPr>
      <w:r w:rsidRPr="006E415C">
        <w:t>4</w:t>
      </w:r>
      <w:proofErr w:type="gramStart"/>
      <w:r w:rsidRPr="006E415C">
        <w:t>.  Estimating</w:t>
      </w:r>
      <w:proofErr w:type="gramEnd"/>
      <w:r w:rsidRPr="006E415C">
        <w:t xml:space="preserve"> non-market benefits</w:t>
      </w:r>
      <w:proofErr w:type="gramStart"/>
      <w:r w:rsidRPr="006E415C">
        <w:t>:  Hackett</w:t>
      </w:r>
      <w:proofErr w:type="gramEnd"/>
      <w:r w:rsidRPr="006E415C">
        <w:t>, pp 152 - 170</w:t>
      </w:r>
    </w:p>
    <w:p w14:paraId="0893BED5" w14:textId="77777777" w:rsidR="006E415C" w:rsidRPr="006E415C" w:rsidRDefault="006E415C" w:rsidP="006E415C"/>
    <w:p w14:paraId="270C963F" w14:textId="77777777" w:rsidR="006E415C" w:rsidRPr="006E415C" w:rsidRDefault="006E415C" w:rsidP="006E415C">
      <w:pPr>
        <w:rPr>
          <w:b/>
          <w:u w:val="single"/>
        </w:rPr>
      </w:pPr>
      <w:r w:rsidRPr="006E415C">
        <w:rPr>
          <w:b/>
          <w:u w:val="single"/>
        </w:rPr>
        <w:t xml:space="preserve">Week VII - IX </w:t>
      </w:r>
    </w:p>
    <w:p w14:paraId="28ECB073" w14:textId="77777777" w:rsidR="006E415C" w:rsidRPr="006E415C" w:rsidRDefault="006E415C" w:rsidP="006E415C">
      <w:pPr>
        <w:ind w:left="720"/>
      </w:pPr>
      <w:r w:rsidRPr="006E415C">
        <w:t>5</w:t>
      </w:r>
      <w:proofErr w:type="gramStart"/>
      <w:r w:rsidRPr="006E415C">
        <w:t>.  Land</w:t>
      </w:r>
      <w:proofErr w:type="gramEnd"/>
      <w:r w:rsidRPr="006E415C">
        <w:t>-use planning</w:t>
      </w:r>
    </w:p>
    <w:p w14:paraId="1B3A0325" w14:textId="77777777" w:rsidR="006E415C" w:rsidRPr="006E415C" w:rsidRDefault="006E415C" w:rsidP="006E415C">
      <w:pPr>
        <w:ind w:left="720"/>
      </w:pPr>
      <w:r w:rsidRPr="006E415C">
        <w:tab/>
        <w:t>Rationale for land-use planning: Chapin and Kaiser, pp 47 – 60</w:t>
      </w:r>
    </w:p>
    <w:p w14:paraId="1B977457" w14:textId="77777777" w:rsidR="006E415C" w:rsidRPr="006E415C" w:rsidRDefault="006E415C" w:rsidP="006E415C">
      <w:pPr>
        <w:ind w:left="720"/>
      </w:pPr>
      <w:r w:rsidRPr="006E415C">
        <w:t>6</w:t>
      </w:r>
      <w:proofErr w:type="gramStart"/>
      <w:r w:rsidRPr="006E415C">
        <w:t>.  Land</w:t>
      </w:r>
      <w:proofErr w:type="gramEnd"/>
      <w:r w:rsidRPr="006E415C">
        <w:t>-use planning (cont’d)</w:t>
      </w:r>
    </w:p>
    <w:p w14:paraId="1C56F58A" w14:textId="77777777" w:rsidR="006E415C" w:rsidRPr="006E415C" w:rsidRDefault="006E415C" w:rsidP="006E415C">
      <w:pPr>
        <w:ind w:left="720"/>
      </w:pPr>
      <w:r w:rsidRPr="006E415C">
        <w:tab/>
        <w:t>The urban land-use planning program: Chapin and Kaiser, pp 77</w:t>
      </w:r>
    </w:p>
    <w:p w14:paraId="4F1670FF" w14:textId="77777777" w:rsidR="006E415C" w:rsidRPr="006E415C" w:rsidRDefault="006E415C" w:rsidP="006E415C">
      <w:pPr>
        <w:ind w:left="720"/>
      </w:pPr>
      <w:r w:rsidRPr="006E415C">
        <w:t xml:space="preserve">7.   Land-use planning (cont’d) </w:t>
      </w:r>
    </w:p>
    <w:p w14:paraId="2AF9B384" w14:textId="77777777" w:rsidR="006E415C" w:rsidRPr="006E415C" w:rsidRDefault="006E415C" w:rsidP="006E415C">
      <w:pPr>
        <w:ind w:left="720"/>
      </w:pPr>
      <w:r w:rsidRPr="006E415C">
        <w:tab/>
        <w:t xml:space="preserve">Locational requirement for land use planning; Chapin and Kaiser, pp 361 – 404 </w:t>
      </w:r>
    </w:p>
    <w:p w14:paraId="4868905E" w14:textId="77777777" w:rsidR="006E415C" w:rsidRPr="006E415C" w:rsidRDefault="006E415C" w:rsidP="006E415C"/>
    <w:p w14:paraId="6E772F93" w14:textId="77777777" w:rsidR="006E415C" w:rsidRPr="006E415C" w:rsidRDefault="006E415C" w:rsidP="006E415C">
      <w:pPr>
        <w:rPr>
          <w:b/>
          <w:u w:val="single"/>
        </w:rPr>
      </w:pPr>
      <w:r w:rsidRPr="006E415C">
        <w:rPr>
          <w:b/>
          <w:u w:val="single"/>
        </w:rPr>
        <w:t>Week X - XV</w:t>
      </w:r>
    </w:p>
    <w:p w14:paraId="6D691AE7" w14:textId="77777777" w:rsidR="006E415C" w:rsidRPr="006E415C" w:rsidRDefault="006E415C" w:rsidP="006E415C">
      <w:pPr>
        <w:ind w:left="720"/>
      </w:pPr>
      <w:r w:rsidRPr="006E415C">
        <w:t>8. An economic assessment of welfare measurement</w:t>
      </w:r>
    </w:p>
    <w:p w14:paraId="7439FD89" w14:textId="77777777" w:rsidR="006E415C" w:rsidRPr="006E415C" w:rsidRDefault="006E415C" w:rsidP="006E415C">
      <w:pPr>
        <w:ind w:left="720"/>
      </w:pPr>
      <w:r w:rsidRPr="006E415C">
        <w:tab/>
        <w:t xml:space="preserve"> Theory of welfare measurement: Van Kooten, pp 30 - 46</w:t>
      </w:r>
    </w:p>
    <w:p w14:paraId="6FC06714" w14:textId="77777777" w:rsidR="006E415C" w:rsidRPr="006E415C" w:rsidRDefault="006E415C" w:rsidP="006E415C">
      <w:pPr>
        <w:ind w:left="720"/>
      </w:pPr>
      <w:r w:rsidRPr="006E415C">
        <w:t>9. Urban sprawl</w:t>
      </w:r>
    </w:p>
    <w:p w14:paraId="433F6346" w14:textId="77777777" w:rsidR="006E415C" w:rsidRPr="006E415C" w:rsidRDefault="006E415C" w:rsidP="006E415C">
      <w:pPr>
        <w:ind w:left="720" w:firstLine="720"/>
      </w:pPr>
      <w:r w:rsidRPr="006E415C">
        <w:t>Urban sprawl and speculation: Clawson, pp 99 - 111</w:t>
      </w:r>
    </w:p>
    <w:p w14:paraId="71D05BC1" w14:textId="77777777" w:rsidR="006E415C" w:rsidRPr="006E415C" w:rsidRDefault="006E415C" w:rsidP="006E415C">
      <w:pPr>
        <w:ind w:left="720"/>
      </w:pPr>
      <w:r w:rsidRPr="006E415C">
        <w:t>10. Public lands management: Van Kooten, pp 363 - 391</w:t>
      </w:r>
    </w:p>
    <w:p w14:paraId="615CE775" w14:textId="77777777" w:rsidR="006E415C" w:rsidRPr="006E415C" w:rsidRDefault="006E415C" w:rsidP="006E415C">
      <w:pPr>
        <w:rPr>
          <w:bCs/>
        </w:rPr>
      </w:pPr>
      <w:r w:rsidRPr="006E415C">
        <w:rPr>
          <w:bCs/>
        </w:rPr>
        <w:t xml:space="preserve"> </w:t>
      </w:r>
    </w:p>
    <w:p w14:paraId="5CF1CF30" w14:textId="5ED6AB08" w:rsidR="006E415C" w:rsidRPr="006E415C" w:rsidRDefault="006E415C" w:rsidP="006E415C">
      <w:pPr>
        <w:rPr>
          <w:bCs/>
        </w:rPr>
      </w:pPr>
      <w:r w:rsidRPr="006E415C">
        <w:rPr>
          <w:bCs/>
        </w:rPr>
        <w:t>Exhibit A:</w:t>
      </w:r>
    </w:p>
    <w:p w14:paraId="43A63A3B" w14:textId="77777777" w:rsidR="006E415C" w:rsidRPr="006E415C" w:rsidRDefault="006E415C" w:rsidP="006E415C">
      <w:pPr>
        <w:rPr>
          <w:bCs/>
        </w:rPr>
      </w:pPr>
    </w:p>
    <w:p w14:paraId="5B14C272" w14:textId="77777777" w:rsidR="006E415C" w:rsidRPr="006E415C" w:rsidRDefault="006E415C" w:rsidP="006E415C">
      <w:pPr>
        <w:rPr>
          <w:b/>
          <w:bCs/>
        </w:rPr>
      </w:pPr>
      <w:r w:rsidRPr="006E415C">
        <w:rPr>
          <w:b/>
          <w:bCs/>
        </w:rPr>
        <w:t>Rubric for participation in online discussions</w:t>
      </w:r>
    </w:p>
    <w:p w14:paraId="46748786" w14:textId="77777777" w:rsidR="006E415C" w:rsidRPr="006E415C" w:rsidRDefault="006E415C" w:rsidP="006E415C">
      <w:pPr>
        <w:rPr>
          <w:bCs/>
        </w:rPr>
      </w:pPr>
    </w:p>
    <w:tbl>
      <w:tblPr>
        <w:tblStyle w:val="PlainTable1"/>
        <w:tblW w:w="0" w:type="auto"/>
        <w:jc w:val="center"/>
        <w:tblLook w:val="04A0" w:firstRow="1" w:lastRow="0" w:firstColumn="1" w:lastColumn="0" w:noHBand="0" w:noVBand="1"/>
      </w:tblPr>
      <w:tblGrid>
        <w:gridCol w:w="1870"/>
        <w:gridCol w:w="1870"/>
        <w:gridCol w:w="1870"/>
        <w:gridCol w:w="1870"/>
        <w:gridCol w:w="1870"/>
      </w:tblGrid>
      <w:tr w:rsidR="006E415C" w:rsidRPr="006E415C" w14:paraId="4BCD1816"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800009" w14:textId="77777777" w:rsidR="006E415C" w:rsidRPr="006E415C" w:rsidRDefault="006E415C" w:rsidP="006E415C">
            <w:r w:rsidRPr="006E415C">
              <w:t>Points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8E49BC" w14:textId="77777777" w:rsidR="006E415C" w:rsidRPr="006E415C" w:rsidRDefault="006E415C" w:rsidP="006E415C">
            <w:pPr>
              <w:cnfStyle w:val="100000000000" w:firstRow="1" w:lastRow="0" w:firstColumn="0" w:lastColumn="0" w:oddVBand="0" w:evenVBand="0" w:oddHBand="0" w:evenHBand="0" w:firstRowFirstColumn="0" w:firstRowLastColumn="0" w:lastRowFirstColumn="0" w:lastRowLastColumn="0"/>
            </w:pPr>
            <w:r w:rsidRPr="006E415C">
              <w:t>30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AFA3DD" w14:textId="77777777" w:rsidR="006E415C" w:rsidRPr="006E415C" w:rsidRDefault="006E415C" w:rsidP="006E415C">
            <w:pPr>
              <w:cnfStyle w:val="100000000000" w:firstRow="1" w:lastRow="0" w:firstColumn="0" w:lastColumn="0" w:oddVBand="0" w:evenVBand="0" w:oddHBand="0" w:evenHBand="0" w:firstRowFirstColumn="0" w:firstRowLastColumn="0" w:lastRowFirstColumn="0" w:lastRowLastColumn="0"/>
            </w:pPr>
            <w:r w:rsidRPr="006E415C">
              <w:t>20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2E24C9" w14:textId="77777777" w:rsidR="006E415C" w:rsidRPr="006E415C" w:rsidRDefault="006E415C" w:rsidP="006E415C">
            <w:pPr>
              <w:cnfStyle w:val="100000000000" w:firstRow="1" w:lastRow="0" w:firstColumn="0" w:lastColumn="0" w:oddVBand="0" w:evenVBand="0" w:oddHBand="0" w:evenHBand="0" w:firstRowFirstColumn="0" w:firstRowLastColumn="0" w:lastRowFirstColumn="0" w:lastRowLastColumn="0"/>
            </w:pPr>
            <w:r w:rsidRPr="006E415C">
              <w:t>10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460225" w14:textId="77777777" w:rsidR="006E415C" w:rsidRPr="006E415C" w:rsidRDefault="006E415C" w:rsidP="006E415C">
            <w:pPr>
              <w:cnfStyle w:val="100000000000" w:firstRow="1" w:lastRow="0" w:firstColumn="0" w:lastColumn="0" w:oddVBand="0" w:evenVBand="0" w:oddHBand="0" w:evenHBand="0" w:firstRowFirstColumn="0" w:firstRowLastColumn="0" w:lastRowFirstColumn="0" w:lastRowLastColumn="0"/>
            </w:pPr>
            <w:r w:rsidRPr="006E415C">
              <w:t>0</w:t>
            </w:r>
          </w:p>
        </w:tc>
      </w:tr>
      <w:tr w:rsidR="006E415C" w:rsidRPr="006E415C" w14:paraId="34E8675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21EB3F" w14:textId="77777777" w:rsidR="006E415C" w:rsidRPr="006E415C" w:rsidRDefault="006E415C" w:rsidP="006E415C">
            <w:r w:rsidRPr="006E415C">
              <w:t>Quality and Number of Posts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4A8EE7"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 xml:space="preserve">Provides insightful and appropriate comments; makes cogent arguments </w:t>
            </w:r>
            <w:r w:rsidRPr="006E415C">
              <w:rPr>
                <w:u w:val="single"/>
              </w:rPr>
              <w:t>in posts</w:t>
            </w:r>
            <w:r w:rsidRPr="006E415C">
              <w:t xml:space="preserve"> and </w:t>
            </w:r>
            <w:r w:rsidRPr="006E415C">
              <w:rPr>
                <w:u w:val="single"/>
              </w:rPr>
              <w:t>in response to</w:t>
            </w:r>
            <w:r w:rsidRPr="006E415C">
              <w:t xml:space="preserve"> students’ posts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59048A"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Offers appropriate comments and responds respectfully to students’ posts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100D0E"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Responds, but with minimum effort. (e.g., I agree with…)</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D1B3B8"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No posting</w:t>
            </w:r>
          </w:p>
        </w:tc>
      </w:tr>
      <w:tr w:rsidR="006E415C" w:rsidRPr="006E415C" w14:paraId="6E0FAAD9" w14:textId="77777777">
        <w:trPr>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D08796" w14:textId="77777777" w:rsidR="006E415C" w:rsidRPr="006E415C" w:rsidRDefault="006E415C" w:rsidP="006E415C">
            <w:r w:rsidRPr="006E415C">
              <w:lastRenderedPageBreak/>
              <w:t>Relevance of Posts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EE5452" w14:textId="77777777" w:rsidR="006E415C" w:rsidRPr="006E415C" w:rsidRDefault="006E415C" w:rsidP="006E415C">
            <w:pPr>
              <w:cnfStyle w:val="000000000000" w:firstRow="0" w:lastRow="0" w:firstColumn="0" w:lastColumn="0" w:oddVBand="0" w:evenVBand="0" w:oddHBand="0" w:evenHBand="0" w:firstRowFirstColumn="0" w:firstRowLastColumn="0" w:lastRowFirstColumn="0" w:lastRowLastColumn="0"/>
            </w:pPr>
            <w:r w:rsidRPr="006E415C">
              <w:t>Stimulates discussion by broadening the scope of the topic</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25848F" w14:textId="77777777" w:rsidR="006E415C" w:rsidRPr="006E415C" w:rsidRDefault="006E415C" w:rsidP="006E415C">
            <w:pPr>
              <w:cnfStyle w:val="000000000000" w:firstRow="0" w:lastRow="0" w:firstColumn="0" w:lastColumn="0" w:oddVBand="0" w:evenVBand="0" w:oddHBand="0" w:evenHBand="0" w:firstRowFirstColumn="0" w:firstRowLastColumn="0" w:lastRowFirstColumn="0" w:lastRowLastColumn="0"/>
            </w:pPr>
            <w:r w:rsidRPr="006E415C">
              <w:t>Posts topics that are related to discussion content</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5B59AF" w14:textId="77777777" w:rsidR="006E415C" w:rsidRPr="006E415C" w:rsidRDefault="006E415C" w:rsidP="006E415C">
            <w:pPr>
              <w:cnfStyle w:val="000000000000" w:firstRow="0" w:lastRow="0" w:firstColumn="0" w:lastColumn="0" w:oddVBand="0" w:evenVBand="0" w:oddHBand="0" w:evenHBand="0" w:firstRowFirstColumn="0" w:firstRowLastColumn="0" w:lastRowFirstColumn="0" w:lastRowLastColumn="0"/>
            </w:pPr>
            <w:r w:rsidRPr="006E415C">
              <w:t>Posts topics or remarks of little or no relevance to the discussion</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8C7273" w14:textId="77777777" w:rsidR="006E415C" w:rsidRPr="006E415C" w:rsidRDefault="006E415C" w:rsidP="006E415C">
            <w:pPr>
              <w:cnfStyle w:val="000000000000" w:firstRow="0" w:lastRow="0" w:firstColumn="0" w:lastColumn="0" w:oddVBand="0" w:evenVBand="0" w:oddHBand="0" w:evenHBand="0" w:firstRowFirstColumn="0" w:firstRowLastColumn="0" w:lastRowFirstColumn="0" w:lastRowLastColumn="0"/>
            </w:pPr>
            <w:r w:rsidRPr="006E415C">
              <w:t>No posting</w:t>
            </w:r>
          </w:p>
        </w:tc>
      </w:tr>
      <w:tr w:rsidR="006E415C" w:rsidRPr="006E415C" w14:paraId="2882CF2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1A3772" w14:textId="77777777" w:rsidR="006E415C" w:rsidRPr="006E415C" w:rsidRDefault="006E415C" w:rsidP="006E415C">
            <w:r w:rsidRPr="006E415C">
              <w:t>Contribution to the Learning Community</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CE10EB"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Elevates the discussion by motivating others to present creative arguments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6BCE8E"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Attempts to direct discussion and presents relevant viewpoints for consideration on the forum</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DFE67E"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Makes little effort to participate in the forum or elevate learning community over the semester</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9A3F80"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Lack of participation</w:t>
            </w:r>
          </w:p>
        </w:tc>
      </w:tr>
    </w:tbl>
    <w:p w14:paraId="5308DAD4" w14:textId="77777777" w:rsidR="006E415C" w:rsidRDefault="006E415C" w:rsidP="006E415C">
      <w:pPr>
        <w:rPr>
          <w:bCs/>
        </w:rPr>
      </w:pPr>
    </w:p>
    <w:p w14:paraId="1DDC084C" w14:textId="7DCD9638" w:rsidR="006E415C" w:rsidRPr="006E415C" w:rsidRDefault="006E415C" w:rsidP="006E415C">
      <w:pPr>
        <w:rPr>
          <w:bCs/>
        </w:rPr>
      </w:pPr>
      <w:r w:rsidRPr="006E415C">
        <w:rPr>
          <w:bCs/>
        </w:rPr>
        <w:t>Exhibit B:</w:t>
      </w:r>
    </w:p>
    <w:p w14:paraId="1D370010" w14:textId="77777777" w:rsidR="006E415C" w:rsidRPr="006E415C" w:rsidRDefault="006E415C" w:rsidP="006E415C">
      <w:pPr>
        <w:rPr>
          <w:bCs/>
        </w:rPr>
      </w:pPr>
    </w:p>
    <w:p w14:paraId="620A1EFB" w14:textId="77777777" w:rsidR="006E415C" w:rsidRPr="006E415C" w:rsidRDefault="006E415C" w:rsidP="006E415C">
      <w:pPr>
        <w:rPr>
          <w:b/>
          <w:bCs/>
        </w:rPr>
      </w:pPr>
      <w:r w:rsidRPr="006E415C">
        <w:rPr>
          <w:b/>
          <w:bCs/>
        </w:rPr>
        <w:t xml:space="preserve">Rubric for Writing Assignments </w:t>
      </w:r>
    </w:p>
    <w:p w14:paraId="395373BA" w14:textId="77777777" w:rsidR="006E415C" w:rsidRPr="006E415C" w:rsidRDefault="006E415C" w:rsidP="006E415C">
      <w:pPr>
        <w:rPr>
          <w:bCs/>
        </w:rPr>
      </w:pPr>
    </w:p>
    <w:tbl>
      <w:tblPr>
        <w:tblStyle w:val="PlainTable1"/>
        <w:tblW w:w="0" w:type="auto"/>
        <w:jc w:val="center"/>
        <w:tblLook w:val="04A0" w:firstRow="1" w:lastRow="0" w:firstColumn="1" w:lastColumn="0" w:noHBand="0" w:noVBand="1"/>
      </w:tblPr>
      <w:tblGrid>
        <w:gridCol w:w="2376"/>
        <w:gridCol w:w="1870"/>
        <w:gridCol w:w="1870"/>
        <w:gridCol w:w="1870"/>
        <w:gridCol w:w="1870"/>
      </w:tblGrid>
      <w:tr w:rsidR="006E415C" w:rsidRPr="006E415C" w14:paraId="3882B665"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8B79AA" w14:textId="77777777" w:rsidR="006E415C" w:rsidRPr="006E415C" w:rsidRDefault="006E415C" w:rsidP="006E415C">
            <w:r w:rsidRPr="006E415C">
              <w:t>Points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C75974" w14:textId="77777777" w:rsidR="006E415C" w:rsidRPr="006E415C" w:rsidRDefault="006E415C" w:rsidP="006E415C">
            <w:pPr>
              <w:cnfStyle w:val="100000000000" w:firstRow="1" w:lastRow="0" w:firstColumn="0" w:lastColumn="0" w:oddVBand="0" w:evenVBand="0" w:oddHBand="0" w:evenHBand="0" w:firstRowFirstColumn="0" w:firstRowLastColumn="0" w:lastRowFirstColumn="0" w:lastRowLastColumn="0"/>
            </w:pPr>
            <w:r w:rsidRPr="006E415C">
              <w:t>30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BFAA27" w14:textId="77777777" w:rsidR="006E415C" w:rsidRPr="006E415C" w:rsidRDefault="006E415C" w:rsidP="006E415C">
            <w:pPr>
              <w:cnfStyle w:val="100000000000" w:firstRow="1" w:lastRow="0" w:firstColumn="0" w:lastColumn="0" w:oddVBand="0" w:evenVBand="0" w:oddHBand="0" w:evenHBand="0" w:firstRowFirstColumn="0" w:firstRowLastColumn="0" w:lastRowFirstColumn="0" w:lastRowLastColumn="0"/>
            </w:pPr>
            <w:r w:rsidRPr="006E415C">
              <w:t>20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EF937B" w14:textId="77777777" w:rsidR="006E415C" w:rsidRPr="006E415C" w:rsidRDefault="006E415C" w:rsidP="006E415C">
            <w:pPr>
              <w:cnfStyle w:val="100000000000" w:firstRow="1" w:lastRow="0" w:firstColumn="0" w:lastColumn="0" w:oddVBand="0" w:evenVBand="0" w:oddHBand="0" w:evenHBand="0" w:firstRowFirstColumn="0" w:firstRowLastColumn="0" w:lastRowFirstColumn="0" w:lastRowLastColumn="0"/>
            </w:pPr>
            <w:r w:rsidRPr="006E415C">
              <w:t>10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F98C29" w14:textId="77777777" w:rsidR="006E415C" w:rsidRPr="006E415C" w:rsidRDefault="006E415C" w:rsidP="006E415C">
            <w:pPr>
              <w:cnfStyle w:val="100000000000" w:firstRow="1" w:lastRow="0" w:firstColumn="0" w:lastColumn="0" w:oddVBand="0" w:evenVBand="0" w:oddHBand="0" w:evenHBand="0" w:firstRowFirstColumn="0" w:firstRowLastColumn="0" w:lastRowFirstColumn="0" w:lastRowLastColumn="0"/>
            </w:pPr>
            <w:r w:rsidRPr="006E415C">
              <w:t>0</w:t>
            </w:r>
          </w:p>
        </w:tc>
      </w:tr>
      <w:tr w:rsidR="006E415C" w:rsidRPr="006E415C" w14:paraId="47AF19B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9C0EB2" w14:textId="77777777" w:rsidR="006E415C" w:rsidRPr="006E415C" w:rsidRDefault="006E415C" w:rsidP="006E415C">
            <w:r w:rsidRPr="006E415C">
              <w:t>Themes/Central Thesis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EC7983"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 xml:space="preserve">Identifies the central thesis of the assignment </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FE6EEF"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Offers main idea though not clearly stated</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F28038"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Offers weak and vague themes/thesis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2DC36F"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No main idea</w:t>
            </w:r>
          </w:p>
        </w:tc>
      </w:tr>
      <w:tr w:rsidR="006E415C" w:rsidRPr="006E415C" w14:paraId="092A90E2" w14:textId="77777777">
        <w:trPr>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798720" w14:textId="77777777" w:rsidR="006E415C" w:rsidRPr="006E415C" w:rsidRDefault="006E415C" w:rsidP="006E415C">
            <w:r w:rsidRPr="006E415C">
              <w:t>Theoretical/Practical Underpinnings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4198B7" w14:textId="77777777" w:rsidR="006E415C" w:rsidRPr="006E415C" w:rsidRDefault="006E415C" w:rsidP="006E415C">
            <w:pPr>
              <w:cnfStyle w:val="000000000000" w:firstRow="0" w:lastRow="0" w:firstColumn="0" w:lastColumn="0" w:oddVBand="0" w:evenVBand="0" w:oddHBand="0" w:evenHBand="0" w:firstRowFirstColumn="0" w:firstRowLastColumn="0" w:lastRowFirstColumn="0" w:lastRowLastColumn="0"/>
            </w:pPr>
            <w:r w:rsidRPr="006E415C">
              <w:t>Provides theoretical support for the central thesis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8C5FE6" w14:textId="77777777" w:rsidR="006E415C" w:rsidRPr="006E415C" w:rsidRDefault="006E415C" w:rsidP="006E415C">
            <w:pPr>
              <w:cnfStyle w:val="000000000000" w:firstRow="0" w:lastRow="0" w:firstColumn="0" w:lastColumn="0" w:oddVBand="0" w:evenVBand="0" w:oddHBand="0" w:evenHBand="0" w:firstRowFirstColumn="0" w:firstRowLastColumn="0" w:lastRowFirstColumn="0" w:lastRowLastColumn="0"/>
            </w:pPr>
            <w:r w:rsidRPr="006E415C">
              <w:t>Provides clear ideas throughout most of the paper</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47D5F8" w14:textId="77777777" w:rsidR="006E415C" w:rsidRPr="006E415C" w:rsidRDefault="006E415C" w:rsidP="006E415C">
            <w:pPr>
              <w:cnfStyle w:val="000000000000" w:firstRow="0" w:lastRow="0" w:firstColumn="0" w:lastColumn="0" w:oddVBand="0" w:evenVBand="0" w:oddHBand="0" w:evenHBand="0" w:firstRowFirstColumn="0" w:firstRowLastColumn="0" w:lastRowFirstColumn="0" w:lastRowLastColumn="0"/>
            </w:pPr>
            <w:r w:rsidRPr="006E415C">
              <w:t>Support for examples missing though some clear ideas exist</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E855A6" w14:textId="77777777" w:rsidR="006E415C" w:rsidRPr="006E415C" w:rsidRDefault="006E415C" w:rsidP="006E415C">
            <w:pPr>
              <w:cnfStyle w:val="000000000000" w:firstRow="0" w:lastRow="0" w:firstColumn="0" w:lastColumn="0" w:oddVBand="0" w:evenVBand="0" w:oddHBand="0" w:evenHBand="0" w:firstRowFirstColumn="0" w:firstRowLastColumn="0" w:lastRowFirstColumn="0" w:lastRowLastColumn="0"/>
            </w:pPr>
            <w:r w:rsidRPr="006E415C">
              <w:t>No support for main idea</w:t>
            </w:r>
          </w:p>
        </w:tc>
      </w:tr>
      <w:tr w:rsidR="006E415C" w:rsidRPr="006E415C" w14:paraId="556ED39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04DDD5" w14:textId="77777777" w:rsidR="006E415C" w:rsidRPr="006E415C" w:rsidRDefault="006E415C" w:rsidP="006E415C">
            <w:r w:rsidRPr="006E415C">
              <w:t>Clarity of Argument</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BF02E7"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Makes cogent argument to support thesis/themes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DF3F8C"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Supports thesis statement with most arguments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95996E"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Provides confusing arguments to support themes/thesis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2BD3F3" w14:textId="77777777" w:rsidR="006E415C" w:rsidRPr="006E415C" w:rsidRDefault="006E415C" w:rsidP="006E415C">
            <w:pPr>
              <w:cnfStyle w:val="000000100000" w:firstRow="0" w:lastRow="0" w:firstColumn="0" w:lastColumn="0" w:oddVBand="0" w:evenVBand="0" w:oddHBand="1" w:evenHBand="0" w:firstRowFirstColumn="0" w:firstRowLastColumn="0" w:lastRowFirstColumn="0" w:lastRowLastColumn="0"/>
            </w:pPr>
            <w:r w:rsidRPr="006E415C">
              <w:t>Lack focus and organization</w:t>
            </w:r>
          </w:p>
        </w:tc>
      </w:tr>
    </w:tbl>
    <w:p w14:paraId="17B8182E" w14:textId="77777777" w:rsidR="006E415C" w:rsidRPr="006E415C" w:rsidRDefault="006E415C" w:rsidP="006E415C">
      <w:pPr>
        <w:rPr>
          <w:bCs/>
        </w:rPr>
      </w:pPr>
    </w:p>
    <w:p w14:paraId="0C846BC4" w14:textId="77777777" w:rsidR="006E415C" w:rsidRPr="006E415C" w:rsidRDefault="006E415C" w:rsidP="006E415C">
      <w:pPr>
        <w:rPr>
          <w:bCs/>
        </w:rPr>
      </w:pPr>
    </w:p>
    <w:p w14:paraId="21F32A54" w14:textId="7B2F2E0E" w:rsidR="006E415C" w:rsidRPr="006E415C" w:rsidRDefault="006E415C" w:rsidP="006E415C">
      <w:pPr>
        <w:rPr>
          <w:bCs/>
        </w:rPr>
      </w:pPr>
      <w:r w:rsidRPr="006E415C">
        <w:rPr>
          <w:bCs/>
        </w:rPr>
        <w:t>Exhibit C:</w:t>
      </w:r>
    </w:p>
    <w:p w14:paraId="39D2ADAD" w14:textId="77777777" w:rsidR="006E415C" w:rsidRPr="006E415C" w:rsidRDefault="006E415C" w:rsidP="006E415C">
      <w:pPr>
        <w:rPr>
          <w:bCs/>
        </w:rPr>
      </w:pPr>
    </w:p>
    <w:p w14:paraId="3CAA15C6" w14:textId="5C06C373" w:rsidR="006E415C" w:rsidRPr="006E415C" w:rsidRDefault="006E415C" w:rsidP="006E415C">
      <w:pPr>
        <w:rPr>
          <w:b/>
          <w:bCs/>
        </w:rPr>
      </w:pPr>
      <w:r w:rsidRPr="006E415C">
        <w:rPr>
          <w:b/>
          <w:bCs/>
        </w:rPr>
        <w:t>Assignment List</w:t>
      </w:r>
    </w:p>
    <w:p w14:paraId="6412250B" w14:textId="77777777" w:rsidR="006E415C" w:rsidRPr="006E415C" w:rsidRDefault="006E415C" w:rsidP="006E415C">
      <w:pPr>
        <w:rPr>
          <w:b/>
          <w:bCs/>
        </w:rPr>
      </w:pPr>
    </w:p>
    <w:p w14:paraId="27240837" w14:textId="77777777" w:rsidR="006E415C" w:rsidRPr="006E415C" w:rsidRDefault="006E415C" w:rsidP="006E415C">
      <w:pPr>
        <w:rPr>
          <w:bCs/>
        </w:rPr>
      </w:pPr>
      <w:r w:rsidRPr="006E415C">
        <w:rPr>
          <w:b/>
          <w:bCs/>
        </w:rPr>
        <w:t>Assignment 1</w:t>
      </w:r>
      <w:r w:rsidRPr="006E415C">
        <w:rPr>
          <w:bCs/>
        </w:rPr>
        <w:t>: Homework problems addressing land in the production context and land evaluation.</w:t>
      </w:r>
    </w:p>
    <w:p w14:paraId="2C5BEB11" w14:textId="77777777" w:rsidR="006E415C" w:rsidRPr="006E415C" w:rsidRDefault="006E415C" w:rsidP="006E415C">
      <w:pPr>
        <w:rPr>
          <w:bCs/>
        </w:rPr>
      </w:pPr>
    </w:p>
    <w:p w14:paraId="5D55B0C8" w14:textId="77777777" w:rsidR="006E415C" w:rsidRPr="006E415C" w:rsidRDefault="006E415C" w:rsidP="006E415C">
      <w:pPr>
        <w:rPr>
          <w:bCs/>
        </w:rPr>
      </w:pPr>
      <w:r w:rsidRPr="006E415C">
        <w:rPr>
          <w:b/>
          <w:bCs/>
        </w:rPr>
        <w:t>Assignment 2</w:t>
      </w:r>
      <w:r w:rsidRPr="006E415C">
        <w:rPr>
          <w:bCs/>
        </w:rPr>
        <w:t xml:space="preserve">: Problems designed to address land rent, externalities, and non-market valuation. </w:t>
      </w:r>
    </w:p>
    <w:p w14:paraId="3B6BDF0B" w14:textId="77777777" w:rsidR="006E415C" w:rsidRPr="006E415C" w:rsidRDefault="006E415C" w:rsidP="006E415C">
      <w:pPr>
        <w:rPr>
          <w:bCs/>
        </w:rPr>
      </w:pPr>
    </w:p>
    <w:p w14:paraId="34588289" w14:textId="77777777" w:rsidR="006E415C" w:rsidRPr="006E415C" w:rsidRDefault="006E415C" w:rsidP="006E415C">
      <w:pPr>
        <w:rPr>
          <w:bCs/>
        </w:rPr>
      </w:pPr>
      <w:r w:rsidRPr="006E415C">
        <w:rPr>
          <w:b/>
          <w:bCs/>
        </w:rPr>
        <w:t xml:space="preserve">Assignment 3: </w:t>
      </w:r>
      <w:r w:rsidRPr="006E415C">
        <w:t>Mathematical problems addressing welfare analysis, land speculation, and population dynam</w:t>
      </w:r>
      <w:r w:rsidRPr="006E415C">
        <w:rPr>
          <w:b/>
          <w:bCs/>
        </w:rPr>
        <w:t xml:space="preserve">ics. </w:t>
      </w:r>
    </w:p>
    <w:p w14:paraId="42949DEE" w14:textId="77777777" w:rsidR="006E415C" w:rsidRPr="006E415C" w:rsidRDefault="006E415C" w:rsidP="006E415C">
      <w:pPr>
        <w:rPr>
          <w:bCs/>
        </w:rPr>
      </w:pPr>
    </w:p>
    <w:p w14:paraId="534FB8F8" w14:textId="77777777" w:rsidR="006E415C" w:rsidRPr="006E415C" w:rsidRDefault="006E415C" w:rsidP="006E415C">
      <w:pPr>
        <w:rPr>
          <w:bCs/>
        </w:rPr>
      </w:pPr>
    </w:p>
    <w:p w14:paraId="3477DBEF" w14:textId="77777777" w:rsidR="006E415C" w:rsidRPr="006E415C" w:rsidRDefault="006E415C" w:rsidP="006E415C">
      <w:pPr>
        <w:rPr>
          <w:bCs/>
        </w:rPr>
      </w:pPr>
      <w:r w:rsidRPr="006E415C">
        <w:rPr>
          <w:bCs/>
        </w:rPr>
        <w:t>Exhibit D:</w:t>
      </w:r>
    </w:p>
    <w:p w14:paraId="753D317E" w14:textId="77777777" w:rsidR="006E415C" w:rsidRPr="006E415C" w:rsidRDefault="006E415C" w:rsidP="006E415C">
      <w:pPr>
        <w:rPr>
          <w:bCs/>
        </w:rPr>
      </w:pPr>
    </w:p>
    <w:p w14:paraId="47A0AE87" w14:textId="77777777" w:rsidR="006E415C" w:rsidRPr="006E415C" w:rsidRDefault="006E415C" w:rsidP="006E415C">
      <w:pPr>
        <w:rPr>
          <w:b/>
          <w:bCs/>
        </w:rPr>
      </w:pPr>
      <w:r w:rsidRPr="006E415C">
        <w:rPr>
          <w:b/>
          <w:bCs/>
        </w:rPr>
        <w:lastRenderedPageBreak/>
        <w:t>Topics for Discussion</w:t>
      </w:r>
    </w:p>
    <w:p w14:paraId="0D0EE5B1" w14:textId="77777777" w:rsidR="006E415C" w:rsidRPr="006E415C" w:rsidRDefault="006E415C" w:rsidP="006E415C">
      <w:pPr>
        <w:rPr>
          <w:bCs/>
        </w:rPr>
      </w:pPr>
    </w:p>
    <w:p w14:paraId="0F8E7F29" w14:textId="77777777" w:rsidR="006E415C" w:rsidRPr="006E415C" w:rsidRDefault="006E415C" w:rsidP="006E415C">
      <w:pPr>
        <w:rPr>
          <w:bCs/>
        </w:rPr>
      </w:pPr>
      <w:r w:rsidRPr="006E415C">
        <w:rPr>
          <w:b/>
          <w:bCs/>
        </w:rPr>
        <w:t>Case study 1</w:t>
      </w:r>
      <w:r w:rsidRPr="006E415C">
        <w:rPr>
          <w:bCs/>
        </w:rPr>
        <w:t>: Should cities subsidize sports and sports venues?</w:t>
      </w:r>
    </w:p>
    <w:p w14:paraId="68B102C9" w14:textId="77777777" w:rsidR="006E415C" w:rsidRPr="006E415C" w:rsidRDefault="006E415C" w:rsidP="006E415C">
      <w:pPr>
        <w:rPr>
          <w:bCs/>
        </w:rPr>
      </w:pPr>
    </w:p>
    <w:p w14:paraId="69C4D061" w14:textId="77777777" w:rsidR="006E415C" w:rsidRPr="006E415C" w:rsidRDefault="006E415C" w:rsidP="006E415C">
      <w:pPr>
        <w:rPr>
          <w:bCs/>
        </w:rPr>
      </w:pPr>
      <w:r w:rsidRPr="006E415C">
        <w:rPr>
          <w:b/>
          <w:bCs/>
        </w:rPr>
        <w:t>Case study 2:</w:t>
      </w:r>
      <w:r w:rsidRPr="006E415C">
        <w:rPr>
          <w:bCs/>
        </w:rPr>
        <w:t xml:space="preserve"> Should pollution be put to the market test?</w:t>
      </w:r>
    </w:p>
    <w:p w14:paraId="3E7B00A4" w14:textId="77777777" w:rsidR="006E415C" w:rsidRPr="006E415C" w:rsidRDefault="006E415C" w:rsidP="006E415C">
      <w:pPr>
        <w:rPr>
          <w:bCs/>
        </w:rPr>
      </w:pPr>
    </w:p>
    <w:p w14:paraId="0FD46088" w14:textId="77777777" w:rsidR="006E415C" w:rsidRPr="006E415C" w:rsidRDefault="006E415C" w:rsidP="006E415C">
      <w:pPr>
        <w:rPr>
          <w:bCs/>
        </w:rPr>
      </w:pPr>
      <w:r w:rsidRPr="006E415C">
        <w:rPr>
          <w:b/>
          <w:bCs/>
        </w:rPr>
        <w:t>Case study 3</w:t>
      </w:r>
      <w:r w:rsidRPr="006E415C">
        <w:rPr>
          <w:bCs/>
        </w:rPr>
        <w:t>: Does global warming require government action?</w:t>
      </w:r>
    </w:p>
    <w:p w14:paraId="618809C9" w14:textId="77777777" w:rsidR="006E415C" w:rsidRPr="006E415C" w:rsidRDefault="006E415C" w:rsidP="006E415C">
      <w:pPr>
        <w:rPr>
          <w:bCs/>
        </w:rPr>
      </w:pPr>
    </w:p>
    <w:p w14:paraId="3AEC4FB1" w14:textId="77777777" w:rsidR="006E415C" w:rsidRDefault="006E415C" w:rsidP="006E415C">
      <w:pPr>
        <w:rPr>
          <w:bCs/>
        </w:rPr>
      </w:pPr>
      <w:r w:rsidRPr="006E415C">
        <w:rPr>
          <w:b/>
          <w:bCs/>
        </w:rPr>
        <w:t>Case study 4</w:t>
      </w:r>
      <w:r w:rsidRPr="006E415C">
        <w:rPr>
          <w:bCs/>
        </w:rPr>
        <w:t>: Should government be in the business of managing land resources?</w:t>
      </w:r>
    </w:p>
    <w:p w14:paraId="28FA751F" w14:textId="77777777" w:rsidR="006E415C" w:rsidRPr="006E415C" w:rsidRDefault="006E415C" w:rsidP="006E415C">
      <w:pPr>
        <w:rPr>
          <w:bCs/>
        </w:rPr>
      </w:pPr>
    </w:p>
    <w:p w14:paraId="7BA75A05" w14:textId="77777777" w:rsidR="00596B94" w:rsidRPr="006E415C" w:rsidRDefault="00596B94" w:rsidP="001F6F76"/>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w:t>
      </w:r>
      <w:r w:rsidRPr="006568A1">
        <w:lastRenderedPageBreak/>
        <w:t xml:space="preserve">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EC86" w14:textId="77777777" w:rsidR="00737AE9" w:rsidRDefault="00737AE9">
      <w:r>
        <w:separator/>
      </w:r>
    </w:p>
  </w:endnote>
  <w:endnote w:type="continuationSeparator" w:id="0">
    <w:p w14:paraId="62DACC89" w14:textId="77777777" w:rsidR="00737AE9" w:rsidRDefault="00737AE9">
      <w:r>
        <w:continuationSeparator/>
      </w:r>
    </w:p>
  </w:endnote>
  <w:endnote w:type="continuationNotice" w:id="1">
    <w:p w14:paraId="46F6657D" w14:textId="77777777" w:rsidR="00737AE9" w:rsidRDefault="00737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8AED" w14:textId="77777777" w:rsidR="00737AE9" w:rsidRDefault="00737AE9">
      <w:r>
        <w:separator/>
      </w:r>
    </w:p>
  </w:footnote>
  <w:footnote w:type="continuationSeparator" w:id="0">
    <w:p w14:paraId="5480CDBE" w14:textId="77777777" w:rsidR="00737AE9" w:rsidRDefault="00737AE9">
      <w:r>
        <w:continuationSeparator/>
      </w:r>
    </w:p>
  </w:footnote>
  <w:footnote w:type="continuationNotice" w:id="1">
    <w:p w14:paraId="7F9A2629" w14:textId="77777777" w:rsidR="00737AE9" w:rsidRDefault="00737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24D09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0"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E310A5"/>
    <w:multiLevelType w:val="hybridMultilevel"/>
    <w:tmpl w:val="9766B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8"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6"/>
  </w:num>
  <w:num w:numId="2" w16cid:durableId="944726977">
    <w:abstractNumId w:val="7"/>
  </w:num>
  <w:num w:numId="3" w16cid:durableId="22633558">
    <w:abstractNumId w:val="7"/>
  </w:num>
  <w:num w:numId="4" w16cid:durableId="29965072">
    <w:abstractNumId w:val="29"/>
  </w:num>
  <w:num w:numId="5" w16cid:durableId="395132139">
    <w:abstractNumId w:val="23"/>
  </w:num>
  <w:num w:numId="6" w16cid:durableId="65227288">
    <w:abstractNumId w:val="23"/>
  </w:num>
  <w:num w:numId="7" w16cid:durableId="118031469">
    <w:abstractNumId w:val="13"/>
  </w:num>
  <w:num w:numId="8" w16cid:durableId="1041906335">
    <w:abstractNumId w:val="1"/>
  </w:num>
  <w:num w:numId="9" w16cid:durableId="320163952">
    <w:abstractNumId w:val="1"/>
  </w:num>
  <w:num w:numId="10" w16cid:durableId="20530690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6"/>
  </w:num>
  <w:num w:numId="13" w16cid:durableId="1097559782">
    <w:abstractNumId w:val="34"/>
  </w:num>
  <w:num w:numId="14" w16cid:durableId="469834322">
    <w:abstractNumId w:val="36"/>
  </w:num>
  <w:num w:numId="15" w16cid:durableId="2021732300">
    <w:abstractNumId w:val="37"/>
  </w:num>
  <w:num w:numId="16" w16cid:durableId="709232823">
    <w:abstractNumId w:val="30"/>
  </w:num>
  <w:num w:numId="17" w16cid:durableId="720907609">
    <w:abstractNumId w:val="49"/>
  </w:num>
  <w:num w:numId="18" w16cid:durableId="238944871">
    <w:abstractNumId w:val="2"/>
  </w:num>
  <w:num w:numId="19" w16cid:durableId="136840557">
    <w:abstractNumId w:val="41"/>
  </w:num>
  <w:num w:numId="20" w16cid:durableId="1835100680">
    <w:abstractNumId w:val="5"/>
  </w:num>
  <w:num w:numId="21" w16cid:durableId="41289568">
    <w:abstractNumId w:val="50"/>
  </w:num>
  <w:num w:numId="22" w16cid:durableId="444541022">
    <w:abstractNumId w:val="33"/>
  </w:num>
  <w:num w:numId="23" w16cid:durableId="1698582408">
    <w:abstractNumId w:val="0"/>
  </w:num>
  <w:num w:numId="24" w16cid:durableId="1353998978">
    <w:abstractNumId w:val="40"/>
  </w:num>
  <w:num w:numId="25" w16cid:durableId="355008526">
    <w:abstractNumId w:val="28"/>
  </w:num>
  <w:num w:numId="26" w16cid:durableId="1408959012">
    <w:abstractNumId w:val="44"/>
  </w:num>
  <w:num w:numId="27" w16cid:durableId="282273256">
    <w:abstractNumId w:val="48"/>
  </w:num>
  <w:num w:numId="28" w16cid:durableId="2052725422">
    <w:abstractNumId w:val="17"/>
  </w:num>
  <w:num w:numId="29" w16cid:durableId="241524684">
    <w:abstractNumId w:val="32"/>
  </w:num>
  <w:num w:numId="30" w16cid:durableId="1215309210">
    <w:abstractNumId w:val="31"/>
  </w:num>
  <w:num w:numId="31" w16cid:durableId="17698101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7"/>
  </w:num>
  <w:num w:numId="33" w16cid:durableId="35860317">
    <w:abstractNumId w:val="24"/>
  </w:num>
  <w:num w:numId="34" w16cid:durableId="1395352853">
    <w:abstractNumId w:val="3"/>
  </w:num>
  <w:num w:numId="35" w16cid:durableId="690497846">
    <w:abstractNumId w:val="19"/>
  </w:num>
  <w:num w:numId="36" w16cid:durableId="116338494">
    <w:abstractNumId w:val="9"/>
  </w:num>
  <w:num w:numId="37" w16cid:durableId="1943872804">
    <w:abstractNumId w:val="10"/>
  </w:num>
  <w:num w:numId="38" w16cid:durableId="2138329971">
    <w:abstractNumId w:val="21"/>
  </w:num>
  <w:num w:numId="39" w16cid:durableId="449709029">
    <w:abstractNumId w:val="4"/>
  </w:num>
  <w:num w:numId="40" w16cid:durableId="1919442617">
    <w:abstractNumId w:val="14"/>
  </w:num>
  <w:num w:numId="41" w16cid:durableId="1065251700">
    <w:abstractNumId w:val="45"/>
  </w:num>
  <w:num w:numId="42" w16cid:durableId="297345256">
    <w:abstractNumId w:val="8"/>
  </w:num>
  <w:num w:numId="43" w16cid:durableId="2045203601">
    <w:abstractNumId w:val="12"/>
  </w:num>
  <w:num w:numId="44" w16cid:durableId="917206999">
    <w:abstractNumId w:val="25"/>
  </w:num>
  <w:num w:numId="45" w16cid:durableId="1202783107">
    <w:abstractNumId w:val="11"/>
  </w:num>
  <w:num w:numId="46" w16cid:durableId="1838615683">
    <w:abstractNumId w:val="15"/>
  </w:num>
  <w:num w:numId="47" w16cid:durableId="411463760">
    <w:abstractNumId w:val="39"/>
  </w:num>
  <w:num w:numId="48" w16cid:durableId="1246114579">
    <w:abstractNumId w:val="42"/>
  </w:num>
  <w:num w:numId="49" w16cid:durableId="1398505230">
    <w:abstractNumId w:val="20"/>
  </w:num>
  <w:num w:numId="50" w16cid:durableId="1449547048">
    <w:abstractNumId w:val="6"/>
  </w:num>
  <w:num w:numId="51" w16cid:durableId="585967387">
    <w:abstractNumId w:val="7"/>
  </w:num>
  <w:num w:numId="52" w16cid:durableId="20490608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6"/>
  </w:num>
  <w:num w:numId="54" w16cid:durableId="1037394200">
    <w:abstractNumId w:val="18"/>
  </w:num>
  <w:num w:numId="55" w16cid:durableId="365831443">
    <w:abstractNumId w:val="20"/>
  </w:num>
  <w:num w:numId="56" w16cid:durableId="1280599534">
    <w:abstractNumId w:val="27"/>
  </w:num>
  <w:num w:numId="57" w16cid:durableId="478576233">
    <w:abstractNumId w:val="35"/>
  </w:num>
  <w:num w:numId="58" w16cid:durableId="1078669771">
    <w:abstractNumId w:val="7"/>
  </w:num>
  <w:num w:numId="59" w16cid:durableId="15218178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50BF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E415C"/>
    <w:rsid w:val="006F1F19"/>
    <w:rsid w:val="0070101B"/>
    <w:rsid w:val="0070627B"/>
    <w:rsid w:val="00732D84"/>
    <w:rsid w:val="00737AE9"/>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481D"/>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82031"/>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04D5"/>
    <w:rsid w:val="00ED739E"/>
    <w:rsid w:val="00EE5780"/>
    <w:rsid w:val="00F0502E"/>
    <w:rsid w:val="00F17E89"/>
    <w:rsid w:val="00F21638"/>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E41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367CC"/>
    <w:rsid w:val="00E85E87"/>
    <w:rsid w:val="00EB4B47"/>
    <w:rsid w:val="00ED04D5"/>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22</cp:revision>
  <dcterms:created xsi:type="dcterms:W3CDTF">2026-01-14T20:34:00Z</dcterms:created>
  <dcterms:modified xsi:type="dcterms:W3CDTF">2026-03-02T08:46:00Z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