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291C5736" w:rsidR="0077180D" w:rsidRDefault="003F4389" w:rsidP="00546C9D">
      <w:r>
        <w:rPr>
          <w:rFonts w:hint="eastAsia"/>
          <w:lang w:eastAsia="zh-CN"/>
        </w:rPr>
        <w:t>11:373:101</w:t>
      </w:r>
      <w:r w:rsidR="00BD0883">
        <w:t xml:space="preserve"> </w:t>
      </w:r>
    </w:p>
    <w:p w14:paraId="1D4101C0" w14:textId="13651294" w:rsidR="006208B9" w:rsidRDefault="003F4389" w:rsidP="00BD0883">
      <w:r w:rsidRPr="003F4389">
        <w:rPr>
          <w:rFonts w:eastAsiaTheme="majorEastAsia" w:cstheme="majorBidi"/>
          <w:b/>
          <w:color w:val="000000" w:themeColor="text1"/>
          <w:sz w:val="36"/>
          <w:szCs w:val="32"/>
        </w:rPr>
        <w:t>Economics, People and the Environment</w:t>
      </w:r>
    </w:p>
    <w:p w14:paraId="7F335416" w14:textId="77777777" w:rsidR="003F4389" w:rsidRDefault="003F4389"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11CF811A" w14:textId="767FAFCC" w:rsidR="00A3101E" w:rsidRPr="003F4389" w:rsidRDefault="003F4389">
      <w:pPr>
        <w:rPr>
          <w:rStyle w:val="Style2"/>
          <w:lang w:eastAsia="zh-CN"/>
        </w:rPr>
      </w:pPr>
      <w:r>
        <w:rPr>
          <w:rFonts w:hint="eastAsia"/>
          <w:lang w:eastAsia="zh-CN"/>
        </w:rPr>
        <w:t>No prerequisites</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611BB8B9" w14:textId="2EA5CAA5" w:rsidR="00A3101E" w:rsidRDefault="00A07477">
      <w:pPr>
        <w:rPr>
          <w:bCs/>
        </w:rPr>
      </w:pPr>
      <w:r>
        <w:rPr>
          <w:bCs/>
        </w:rPr>
        <w:t xml:space="preserve">Instructor(s): </w:t>
      </w:r>
      <w:r w:rsidR="003F4389">
        <w:rPr>
          <w:rStyle w:val="Style2"/>
          <w:rFonts w:hint="eastAsia"/>
          <w:lang w:eastAsia="zh-CN"/>
        </w:rPr>
        <w:t>Dr</w:t>
      </w:r>
      <w:r w:rsidR="003F4389" w:rsidRPr="003F4389">
        <w:rPr>
          <w:rStyle w:val="Style2"/>
        </w:rPr>
        <w:t>. Paul Gottlieb</w:t>
      </w:r>
    </w:p>
    <w:p w14:paraId="7F8A7F20" w14:textId="6F8F24B4" w:rsidR="00A3101E" w:rsidRDefault="00A07477">
      <w:pPr>
        <w:rPr>
          <w:rStyle w:val="Style2"/>
        </w:rPr>
      </w:pPr>
      <w:r>
        <w:rPr>
          <w:bCs/>
        </w:rPr>
        <w:t xml:space="preserve">Office Location: </w:t>
      </w:r>
      <w:r w:rsidR="003F4389">
        <w:rPr>
          <w:rStyle w:val="Style2"/>
          <w:rFonts w:hint="eastAsia"/>
          <w:lang w:eastAsia="zh-CN"/>
        </w:rPr>
        <w:t>Cook Office Building 106</w:t>
      </w:r>
    </w:p>
    <w:p w14:paraId="7F3BDA5E" w14:textId="37608F16" w:rsidR="00A3101E" w:rsidRDefault="00A07477">
      <w:pPr>
        <w:rPr>
          <w:rStyle w:val="Style2"/>
        </w:rPr>
      </w:pPr>
      <w:r>
        <w:rPr>
          <w:bCs/>
        </w:rPr>
        <w:t xml:space="preserve">Email: </w:t>
      </w:r>
      <w:r w:rsidR="003F4389" w:rsidRPr="003F4389">
        <w:t>pdgott@rutgers.edu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Style w:val="Style2"/>
        </w:rPr>
      </w:sdtEndPr>
      <w:sdtContent>
        <w:p w14:paraId="2532F457" w14:textId="21991A29" w:rsidR="00A3101E" w:rsidRPr="001454BD" w:rsidRDefault="003F4389" w:rsidP="001454BD">
          <w:pPr>
            <w:numPr>
              <w:ilvl w:val="0"/>
              <w:numId w:val="3"/>
            </w:numPr>
            <w:rPr>
              <w:b/>
              <w:bCs/>
            </w:rPr>
          </w:pPr>
          <w:r>
            <w:rPr>
              <w:rFonts w:hint="eastAsia"/>
              <w:lang w:eastAsia="zh-CN"/>
            </w:rPr>
            <w:t>Website: Canvas</w:t>
          </w:r>
        </w:p>
      </w:sdtContent>
    </w:sdt>
    <w:p w14:paraId="1C7D5CB4" w14:textId="77777777" w:rsidR="000A236B" w:rsidRDefault="000A236B">
      <w:pPr>
        <w:tabs>
          <w:tab w:val="right" w:pos="9936"/>
        </w:tabs>
        <w:rPr>
          <w:b/>
          <w:bCs/>
        </w:rPr>
      </w:pPr>
    </w:p>
    <w:p w14:paraId="2ED464C1" w14:textId="46756F0A" w:rsidR="00A3101E" w:rsidRDefault="00A07477" w:rsidP="00AA286F">
      <w:pPr>
        <w:pStyle w:val="Heading2"/>
      </w:pPr>
      <w:r>
        <w:t>C</w:t>
      </w:r>
      <w:r w:rsidR="00AA286F">
        <w:t>ourse Description</w:t>
      </w:r>
    </w:p>
    <w:p w14:paraId="252A0DF7" w14:textId="27FAEE10" w:rsidR="00A3101E" w:rsidRDefault="001454BD">
      <w:r w:rsidRPr="001454BD">
        <w:t xml:space="preserve">This introductory economics course fulfills the economic analysis component of the SEBS core curriculum requirement in social analysis. The course covers both microeconomics and macroeconomics in a single semester. As indicated in the course’s title, we will apply economic thinking to topics that relate to the </w:t>
      </w:r>
      <w:proofErr w:type="gramStart"/>
      <w:r w:rsidRPr="001454BD">
        <w:t>School’s</w:t>
      </w:r>
      <w:proofErr w:type="gramEnd"/>
      <w:r w:rsidRPr="001454BD">
        <w:t xml:space="preserve"> mission areas in food, environment, and natural resources. Because of these special topics, the course fulfills a Rutgers-New Brunswick core requirement in “Our Common Future” (CC) as well as “social analysis” (SCL). Note that this course does not serve as a prerequisite for more advanced courses in economics, </w:t>
      </w:r>
      <w:proofErr w:type="gramStart"/>
      <w:r w:rsidRPr="001454BD">
        <w:t>with the exception of</w:t>
      </w:r>
      <w:proofErr w:type="gramEnd"/>
      <w:r w:rsidRPr="001454BD">
        <w:t xml:space="preserve"> 11:373:202. It is generally not appropriate for students who plan to major in economics or business.</w:t>
      </w:r>
    </w:p>
    <w:p w14:paraId="15735705" w14:textId="77777777" w:rsidR="001454BD" w:rsidRDefault="001454BD"/>
    <w:p w14:paraId="404DFCEE" w14:textId="77777777" w:rsidR="001454BD" w:rsidRPr="001454BD" w:rsidRDefault="001454BD" w:rsidP="001454BD">
      <w:pPr>
        <w:rPr>
          <w:bCs/>
        </w:rPr>
      </w:pPr>
      <w:r w:rsidRPr="001454BD">
        <w:rPr>
          <w:bCs/>
          <w:u w:val="single"/>
        </w:rPr>
        <w:t>COURSE OBJECTIVES</w:t>
      </w:r>
      <w:r w:rsidRPr="001454BD">
        <w:rPr>
          <w:bCs/>
        </w:rPr>
        <w:t xml:space="preserve">: </w:t>
      </w:r>
    </w:p>
    <w:p w14:paraId="0AED1579" w14:textId="77777777" w:rsidR="001454BD" w:rsidRPr="001454BD" w:rsidRDefault="001454BD" w:rsidP="001454BD">
      <w:pPr>
        <w:rPr>
          <w:bCs/>
        </w:rPr>
      </w:pPr>
    </w:p>
    <w:p w14:paraId="445D82B9" w14:textId="77777777" w:rsidR="001454BD" w:rsidRPr="001454BD" w:rsidRDefault="001454BD" w:rsidP="001454BD">
      <w:pPr>
        <w:numPr>
          <w:ilvl w:val="0"/>
          <w:numId w:val="10"/>
        </w:numPr>
        <w:rPr>
          <w:bCs/>
        </w:rPr>
      </w:pPr>
      <w:r w:rsidRPr="001454BD">
        <w:rPr>
          <w:bCs/>
        </w:rPr>
        <w:t>To enhance your ability, as educated members of society, to make informed and realistic assessments of the economic dimensions of public policy issues.</w:t>
      </w:r>
    </w:p>
    <w:p w14:paraId="526CBCC9" w14:textId="77777777" w:rsidR="001454BD" w:rsidRPr="001454BD" w:rsidRDefault="001454BD" w:rsidP="001454BD">
      <w:pPr>
        <w:numPr>
          <w:ilvl w:val="0"/>
          <w:numId w:val="10"/>
        </w:numPr>
        <w:rPr>
          <w:bCs/>
        </w:rPr>
      </w:pPr>
      <w:r w:rsidRPr="001454BD">
        <w:rPr>
          <w:bCs/>
        </w:rPr>
        <w:t xml:space="preserve">To develop an economically informed, analytical way of thinking, while also recognizing the limitations </w:t>
      </w:r>
      <w:proofErr w:type="gramStart"/>
      <w:r w:rsidRPr="001454BD">
        <w:rPr>
          <w:bCs/>
        </w:rPr>
        <w:t>to</w:t>
      </w:r>
      <w:proofErr w:type="gramEnd"/>
      <w:r w:rsidRPr="001454BD">
        <w:rPr>
          <w:bCs/>
        </w:rPr>
        <w:t xml:space="preserve"> this type of analysis. </w:t>
      </w:r>
    </w:p>
    <w:p w14:paraId="30935319" w14:textId="77777777" w:rsidR="001454BD" w:rsidRPr="001454BD" w:rsidRDefault="001454BD" w:rsidP="001454BD">
      <w:pPr>
        <w:numPr>
          <w:ilvl w:val="0"/>
          <w:numId w:val="10"/>
        </w:numPr>
        <w:rPr>
          <w:bCs/>
        </w:rPr>
      </w:pPr>
      <w:r w:rsidRPr="001454BD">
        <w:rPr>
          <w:bCs/>
        </w:rPr>
        <w:t>To apply economic decision frameworks to contemporary global challenges, placing special emphasis on potential trade-offs, multiple disciplinary perspectives, and matters of politics and implementation.</w:t>
      </w:r>
    </w:p>
    <w:p w14:paraId="1EE7A506" w14:textId="77777777" w:rsidR="001454BD" w:rsidRPr="001454BD" w:rsidRDefault="001454BD" w:rsidP="001454BD">
      <w:pPr>
        <w:numPr>
          <w:ilvl w:val="0"/>
          <w:numId w:val="10"/>
        </w:numPr>
        <w:rPr>
          <w:bCs/>
        </w:rPr>
      </w:pPr>
      <w:r w:rsidRPr="001454BD">
        <w:rPr>
          <w:bCs/>
        </w:rPr>
        <w:t>To demonstrate the use of economics and related disciplines in natural resource and environmental policy development and implementation.</w:t>
      </w:r>
    </w:p>
    <w:p w14:paraId="552D8C8C" w14:textId="77777777" w:rsidR="001454BD" w:rsidRPr="001454BD" w:rsidRDefault="001454BD">
      <w:pPr>
        <w:rPr>
          <w:rStyle w:val="Style2"/>
          <w:b/>
        </w:rPr>
      </w:pPr>
    </w:p>
    <w:p w14:paraId="59668C01" w14:textId="77777777" w:rsidR="00A3101E" w:rsidRDefault="00A3101E">
      <w:pPr>
        <w:rPr>
          <w:b/>
          <w:bCs/>
        </w:rPr>
      </w:pPr>
    </w:p>
    <w:p w14:paraId="4B7FBE69" w14:textId="252B6A9D" w:rsidR="00CD4A37" w:rsidRDefault="00A07477" w:rsidP="00AA286F">
      <w:pPr>
        <w:pStyle w:val="Heading2"/>
      </w:pPr>
      <w:r>
        <w:t>L</w:t>
      </w:r>
      <w:r w:rsidR="00AA286F">
        <w:t>earning Goals</w:t>
      </w:r>
    </w:p>
    <w:p w14:paraId="7F9FC21C" w14:textId="77777777" w:rsidR="001454BD" w:rsidRDefault="001454BD" w:rsidP="001454BD">
      <w:pPr>
        <w:rPr>
          <w:color w:val="404040" w:themeColor="text1" w:themeTint="BF"/>
        </w:rPr>
      </w:pPr>
    </w:p>
    <w:p w14:paraId="1A06F5E6" w14:textId="62482AB0" w:rsidR="001454BD" w:rsidRPr="001454BD" w:rsidRDefault="001454BD" w:rsidP="001454BD">
      <w:pPr>
        <w:rPr>
          <w:u w:val="single"/>
        </w:rPr>
      </w:pPr>
      <w:r>
        <w:rPr>
          <w:noProof/>
          <w:color w:val="404040" w:themeColor="text1" w:themeTint="BF"/>
        </w:rPr>
        <w:lastRenderedPageBreak/>
        <w:drawing>
          <wp:inline distT="0" distB="0" distL="0" distR="0" wp14:anchorId="621D4DBD" wp14:editId="059A91CF">
            <wp:extent cx="595313" cy="591563"/>
            <wp:effectExtent l="0" t="0" r="0" b="0"/>
            <wp:docPr id="744565085" name="Picture 1" descr="C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65085" name="Picture 1" descr="COR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110" cy="597324"/>
                    </a:xfrm>
                    <a:prstGeom prst="rect">
                      <a:avLst/>
                    </a:prstGeom>
                    <a:noFill/>
                    <a:ln>
                      <a:noFill/>
                    </a:ln>
                  </pic:spPr>
                </pic:pic>
              </a:graphicData>
            </a:graphic>
          </wp:inline>
        </w:drawing>
      </w:r>
      <w:r w:rsidR="0075348C" w:rsidRPr="0075348C">
        <w:t xml:space="preserve"> </w:t>
      </w:r>
      <w:r w:rsidR="0075348C" w:rsidRPr="0075348C">
        <w:rPr>
          <w:b/>
          <w:bCs/>
          <w:u w:val="single"/>
        </w:rPr>
        <w:t>CORE CURRICULUM LEARNING GOALS</w:t>
      </w:r>
      <w:r w:rsidRPr="001454BD">
        <w:rPr>
          <w:u w:val="single"/>
        </w:rPr>
        <w:t>:</w:t>
      </w:r>
    </w:p>
    <w:p w14:paraId="18144B81" w14:textId="77777777" w:rsidR="001454BD" w:rsidRPr="001454BD" w:rsidRDefault="001454BD" w:rsidP="001454BD"/>
    <w:p w14:paraId="5DA14A42" w14:textId="77777777" w:rsidR="001454BD" w:rsidRPr="001454BD" w:rsidRDefault="001454BD" w:rsidP="001454BD">
      <w:r w:rsidRPr="001454BD">
        <w:rPr>
          <w:b/>
          <w:bCs/>
        </w:rPr>
        <w:t>Our Common Future CC-O.</w:t>
      </w:r>
      <w:r w:rsidRPr="001454BD">
        <w:t xml:space="preserve"> Especially: "Analyze a contemporary global issue from a multidisciplinary perspective."</w:t>
      </w:r>
    </w:p>
    <w:p w14:paraId="0FAAC13D" w14:textId="77777777" w:rsidR="001454BD" w:rsidRPr="001454BD" w:rsidRDefault="001454BD" w:rsidP="001454BD"/>
    <w:p w14:paraId="24C3ECEC" w14:textId="77777777" w:rsidR="001454BD" w:rsidRPr="001454BD" w:rsidRDefault="001454BD" w:rsidP="001454BD">
      <w:pPr>
        <w:ind w:left="720"/>
      </w:pPr>
      <w:r w:rsidRPr="001454BD">
        <w:t xml:space="preserve">The economist's approach to such issues as growth versus the environment, air pollution regulation, food security, and urban sprawl will be contrasted with perspectives from other disciplines, especially the natural sciences and law.       </w:t>
      </w:r>
    </w:p>
    <w:p w14:paraId="0B64D036" w14:textId="77777777" w:rsidR="001454BD" w:rsidRPr="001454BD" w:rsidRDefault="001454BD" w:rsidP="001454BD"/>
    <w:p w14:paraId="35945D1E" w14:textId="77777777" w:rsidR="001454BD" w:rsidRPr="001454BD" w:rsidRDefault="001454BD" w:rsidP="001454BD">
      <w:r w:rsidRPr="001454BD">
        <w:rPr>
          <w:b/>
          <w:bCs/>
        </w:rPr>
        <w:t>Social Analysis SCL.</w:t>
      </w:r>
      <w:r w:rsidRPr="001454BD">
        <w:t xml:space="preserve"> Especially: "Employ tools of social scientific reasoning to study particular questions or situations, using appropriate assumptions, methods, evidence, and arguments."</w:t>
      </w:r>
    </w:p>
    <w:p w14:paraId="17C515E7" w14:textId="77777777" w:rsidR="001454BD" w:rsidRPr="001454BD" w:rsidRDefault="001454BD" w:rsidP="001454BD"/>
    <w:p w14:paraId="32B40611" w14:textId="0FB5D892" w:rsidR="008973D2" w:rsidRPr="001454BD" w:rsidRDefault="001454BD" w:rsidP="001454BD">
      <w:pPr>
        <w:ind w:left="720"/>
      </w:pPr>
      <w:r w:rsidRPr="001454BD">
        <w:t>The tools of economics will be emphasized, but practices like model building, data gathering, and making careful inferences from data are common to all social as well as natural sciences.</w:t>
      </w:r>
    </w:p>
    <w:p w14:paraId="05BD74E2" w14:textId="77777777" w:rsidR="001454BD" w:rsidRPr="001454BD" w:rsidRDefault="001454BD" w:rsidP="001454BD"/>
    <w:p w14:paraId="275188FE" w14:textId="77777777" w:rsidR="001454BD" w:rsidRPr="001454BD" w:rsidRDefault="001454BD" w:rsidP="001454BD">
      <w:pPr>
        <w:rPr>
          <w:b/>
          <w:u w:val="single"/>
        </w:rPr>
      </w:pPr>
      <w:r w:rsidRPr="001454BD">
        <w:rPr>
          <w:b/>
          <w:u w:val="single"/>
        </w:rPr>
        <w:t>STUDENT LEARNING GOALS:</w:t>
      </w:r>
    </w:p>
    <w:p w14:paraId="7E0141C6" w14:textId="77777777" w:rsidR="001454BD" w:rsidRPr="001454BD" w:rsidRDefault="001454BD" w:rsidP="001454BD"/>
    <w:p w14:paraId="11455067" w14:textId="77777777" w:rsidR="001454BD" w:rsidRPr="001454BD" w:rsidRDefault="001454BD" w:rsidP="001454BD">
      <w:pPr>
        <w:rPr>
          <w:b/>
        </w:rPr>
      </w:pPr>
      <w:r w:rsidRPr="001454BD">
        <w:t xml:space="preserve">By the end of this course, students will be able to:  </w:t>
      </w:r>
    </w:p>
    <w:p w14:paraId="2B2A427B" w14:textId="77777777" w:rsidR="001454BD" w:rsidRPr="001454BD" w:rsidRDefault="001454BD" w:rsidP="001454BD"/>
    <w:p w14:paraId="0F4531F7" w14:textId="77777777" w:rsidR="001454BD" w:rsidRPr="001454BD" w:rsidRDefault="001454BD" w:rsidP="001454BD">
      <w:pPr>
        <w:numPr>
          <w:ilvl w:val="0"/>
          <w:numId w:val="11"/>
        </w:numPr>
      </w:pPr>
      <w:r w:rsidRPr="001454BD">
        <w:t>Understand and apply the economic discipline’s normative criteria of efficiency, equity, and the related goal of sustainability</w:t>
      </w:r>
    </w:p>
    <w:p w14:paraId="6C9A9CEE" w14:textId="77777777" w:rsidR="001454BD" w:rsidRPr="001454BD" w:rsidRDefault="001454BD" w:rsidP="001454BD">
      <w:pPr>
        <w:numPr>
          <w:ilvl w:val="0"/>
          <w:numId w:val="11"/>
        </w:numPr>
      </w:pPr>
      <w:r w:rsidRPr="001454BD">
        <w:t>Understand and apply elements of the discipline’s decision-making toolkit, such as “opportunity cost” and the “marginal principle”</w:t>
      </w:r>
    </w:p>
    <w:p w14:paraId="02834C41" w14:textId="77777777" w:rsidR="001454BD" w:rsidRPr="001454BD" w:rsidRDefault="001454BD" w:rsidP="001454BD">
      <w:pPr>
        <w:numPr>
          <w:ilvl w:val="0"/>
          <w:numId w:val="11"/>
        </w:numPr>
      </w:pPr>
      <w:r w:rsidRPr="001454BD">
        <w:t>Understand concepts peculiar to natural resource and environmental management, especially resource stocks and flows and the market failures that characterize this policy domain</w:t>
      </w:r>
    </w:p>
    <w:p w14:paraId="0210FB69" w14:textId="77777777" w:rsidR="001454BD" w:rsidRPr="001454BD" w:rsidRDefault="001454BD" w:rsidP="001454BD">
      <w:pPr>
        <w:numPr>
          <w:ilvl w:val="0"/>
          <w:numId w:val="11"/>
        </w:numPr>
      </w:pPr>
      <w:r w:rsidRPr="001454BD">
        <w:t>Master the supply and demand graphical toolkit through detailed application to real world problems in both micro- and macroeconomics</w:t>
      </w:r>
    </w:p>
    <w:p w14:paraId="60899B8D" w14:textId="77777777" w:rsidR="001454BD" w:rsidRPr="001454BD" w:rsidRDefault="001454BD" w:rsidP="001454BD">
      <w:pPr>
        <w:numPr>
          <w:ilvl w:val="0"/>
          <w:numId w:val="11"/>
        </w:numPr>
      </w:pPr>
      <w:r w:rsidRPr="001454BD">
        <w:t xml:space="preserve">Understand the traditional problems of domestic macroeconomic management (inflation and unemployment) and their standard remedies. Expand this understanding into the international dimension: exports, imports, exchange rates, and the policies that affect them.  </w:t>
      </w:r>
    </w:p>
    <w:p w14:paraId="1A2147BD" w14:textId="77777777" w:rsidR="001454BD" w:rsidRPr="001454BD" w:rsidRDefault="001454BD" w:rsidP="001454BD">
      <w:pPr>
        <w:numPr>
          <w:ilvl w:val="0"/>
          <w:numId w:val="11"/>
        </w:numPr>
      </w:pPr>
      <w:r w:rsidRPr="001454BD">
        <w:t>Understand facts about and potential solutions to 21</w:t>
      </w:r>
      <w:r w:rsidRPr="001454BD">
        <w:rPr>
          <w:vertAlign w:val="superscript"/>
        </w:rPr>
        <w:t>st</w:t>
      </w:r>
      <w:r w:rsidRPr="001454BD">
        <w:t xml:space="preserve"> century challenges related to resource allocation. These include “growth versus the environment,” climate change, income inequality, persistent underdevelopment, aging populations, rising debt, economic instability, food insecurity, and public health, among others.</w:t>
      </w:r>
    </w:p>
    <w:p w14:paraId="52117F42" w14:textId="77777777" w:rsidR="001454BD" w:rsidRDefault="001454BD" w:rsidP="001454BD">
      <w:pPr>
        <w:rPr>
          <w:color w:val="7F7F7F" w:themeColor="text1" w:themeTint="80"/>
        </w:rPr>
      </w:pPr>
    </w:p>
    <w:p w14:paraId="4FE7A48C" w14:textId="3F2193F1" w:rsidR="00B957D0" w:rsidRDefault="00B957D0" w:rsidP="00B957D0">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17766E7C" w14:textId="7EDFFB94" w:rsidR="001454BD" w:rsidRPr="001454BD" w:rsidRDefault="001454BD" w:rsidP="001454BD">
      <w:r w:rsidRPr="001454BD">
        <w:t xml:space="preserve">Assessment is by means of one midterm exam, one final exam, three to four quizzes, three to four short papers, and numerous small assignments that are graded on participation only.  </w:t>
      </w:r>
    </w:p>
    <w:p w14:paraId="35441B1C" w14:textId="77777777" w:rsidR="00A3101E" w:rsidRDefault="00A3101E">
      <w:pPr>
        <w:rPr>
          <w:b/>
          <w:bCs/>
        </w:rPr>
      </w:pPr>
    </w:p>
    <w:p w14:paraId="10D0C9C8" w14:textId="1E6CD93D"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Pr="001454BD" w:rsidRDefault="004C7086" w:rsidP="001454BD">
      <w:pPr>
        <w:spacing w:before="40"/>
        <w:rPr>
          <w:bCs/>
        </w:rPr>
      </w:pPr>
      <w:r w:rsidRPr="004C7086">
        <w:rPr>
          <w:rStyle w:val="Style2"/>
        </w:rPr>
        <w:t xml:space="preserve">Please follow the procedures outlined at </w:t>
      </w:r>
      <w:hyperlink r:id="rId10"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1"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EE92701" w14:textId="63BB1783" w:rsidR="001454BD" w:rsidRDefault="001454BD" w:rsidP="001454BD">
      <w:pPr>
        <w:rPr>
          <w:b/>
          <w:bCs/>
          <w:u w:val="single"/>
        </w:rPr>
      </w:pPr>
      <w:r>
        <w:rPr>
          <w:b/>
          <w:bCs/>
          <w:u w:val="single"/>
        </w:rPr>
        <w:t>BROAD TOPICAL OUTLINE OF COURSE:</w:t>
      </w:r>
    </w:p>
    <w:p w14:paraId="518A5636" w14:textId="77777777" w:rsidR="001454BD" w:rsidRDefault="001454BD" w:rsidP="001454BD">
      <w:pPr>
        <w:spacing w:before="100" w:beforeAutospacing="1" w:after="60" w:line="360" w:lineRule="auto"/>
        <w:rPr>
          <w:bCs/>
        </w:rPr>
      </w:pPr>
      <w:r>
        <w:rPr>
          <w:bCs/>
        </w:rPr>
        <w:t>I.    Introduction</w:t>
      </w:r>
      <w:r>
        <w:rPr>
          <w:bCs/>
        </w:rPr>
        <w:br/>
        <w:t>II.   The economic system uses resources to satisfy human wants</w:t>
      </w:r>
      <w:r>
        <w:rPr>
          <w:bCs/>
        </w:rPr>
        <w:br/>
        <w:t>III.  Lessons for economic decision-making</w:t>
      </w:r>
      <w:r>
        <w:rPr>
          <w:bCs/>
        </w:rPr>
        <w:br/>
        <w:t>IV.  Microeconomics: Understanding behavior in individual markets</w:t>
      </w:r>
      <w:r>
        <w:rPr>
          <w:bCs/>
        </w:rPr>
        <w:br/>
        <w:t>V.   Macroeconomics: Understanding "the economy" and its management</w:t>
      </w:r>
    </w:p>
    <w:p w14:paraId="431A3CF2" w14:textId="77777777" w:rsidR="001454BD" w:rsidRDefault="001454BD" w:rsidP="001454BD">
      <w:pPr>
        <w:ind w:left="720"/>
        <w:rPr>
          <w:bCs/>
        </w:rPr>
      </w:pPr>
      <w:r>
        <w:rPr>
          <w:bCs/>
        </w:rPr>
        <w:t>a.   Aggregate economic welfare; inequality</w:t>
      </w:r>
    </w:p>
    <w:p w14:paraId="60A0D5E5" w14:textId="77777777" w:rsidR="001454BD" w:rsidRDefault="001454BD" w:rsidP="001454BD">
      <w:pPr>
        <w:ind w:left="720"/>
        <w:rPr>
          <w:bCs/>
        </w:rPr>
      </w:pPr>
      <w:r>
        <w:rPr>
          <w:bCs/>
        </w:rPr>
        <w:t>b.   Long run economic development</w:t>
      </w:r>
    </w:p>
    <w:p w14:paraId="153AA50F" w14:textId="77777777" w:rsidR="001454BD" w:rsidRDefault="001454BD" w:rsidP="001454BD">
      <w:pPr>
        <w:ind w:left="720"/>
        <w:rPr>
          <w:bCs/>
        </w:rPr>
      </w:pPr>
      <w:r>
        <w:rPr>
          <w:bCs/>
        </w:rPr>
        <w:t>c.   Stabilizing the economy in the short run</w:t>
      </w:r>
    </w:p>
    <w:p w14:paraId="05DAF563" w14:textId="77777777" w:rsidR="001454BD" w:rsidRDefault="001454BD" w:rsidP="001454BD">
      <w:pPr>
        <w:ind w:left="720"/>
        <w:rPr>
          <w:bCs/>
        </w:rPr>
      </w:pPr>
      <w:r>
        <w:rPr>
          <w:bCs/>
        </w:rPr>
        <w:t>d.   International economics and trade</w:t>
      </w:r>
    </w:p>
    <w:p w14:paraId="3C048EA3" w14:textId="77777777" w:rsidR="001454BD" w:rsidRDefault="001454BD" w:rsidP="001454BD">
      <w:pPr>
        <w:rPr>
          <w:bCs/>
        </w:rPr>
      </w:pPr>
    </w:p>
    <w:p w14:paraId="15E0DB7C" w14:textId="77777777" w:rsidR="001454BD" w:rsidRDefault="001454BD" w:rsidP="001454BD">
      <w:pPr>
        <w:rPr>
          <w:b/>
          <w:u w:val="single"/>
        </w:rPr>
      </w:pPr>
    </w:p>
    <w:p w14:paraId="6E50D679" w14:textId="5675AD0F" w:rsidR="001454BD" w:rsidRDefault="001454BD" w:rsidP="001454BD">
      <w:pPr>
        <w:rPr>
          <w:b/>
          <w:u w:val="single"/>
        </w:rPr>
      </w:pPr>
      <w:r>
        <w:rPr>
          <w:rFonts w:hint="eastAsia"/>
          <w:b/>
          <w:u w:val="single"/>
          <w:lang w:eastAsia="zh-CN"/>
        </w:rPr>
        <w:t xml:space="preserve">SAMPLE </w:t>
      </w:r>
      <w:r>
        <w:rPr>
          <w:b/>
          <w:u w:val="single"/>
        </w:rPr>
        <w:t>COURSE SCHEDULE for Spring</w:t>
      </w:r>
      <w:r>
        <w:rPr>
          <w:rFonts w:hint="eastAsia"/>
          <w:b/>
          <w:u w:val="single"/>
          <w:lang w:eastAsia="zh-CN"/>
        </w:rPr>
        <w:t xml:space="preserve"> Semester</w:t>
      </w:r>
      <w:r>
        <w:rPr>
          <w:b/>
          <w:u w:val="single"/>
        </w:rPr>
        <w:t>:</w:t>
      </w:r>
    </w:p>
    <w:p w14:paraId="2E40C32A" w14:textId="77777777" w:rsidR="001454BD" w:rsidRDefault="001454BD" w:rsidP="001454BD">
      <w:pPr>
        <w:rPr>
          <w:b/>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4503"/>
        <w:gridCol w:w="2828"/>
      </w:tblGrid>
      <w:tr w:rsidR="001454BD" w14:paraId="69F63B5E" w14:textId="77777777">
        <w:tc>
          <w:tcPr>
            <w:tcW w:w="2538" w:type="dxa"/>
            <w:tcBorders>
              <w:top w:val="single" w:sz="4" w:space="0" w:color="auto"/>
              <w:left w:val="single" w:sz="4" w:space="0" w:color="auto"/>
              <w:bottom w:val="single" w:sz="4" w:space="0" w:color="auto"/>
              <w:right w:val="single" w:sz="4" w:space="0" w:color="auto"/>
            </w:tcBorders>
            <w:hideMark/>
          </w:tcPr>
          <w:p w14:paraId="058BE89F" w14:textId="77777777" w:rsidR="001454BD" w:rsidRDefault="001454BD">
            <w:pPr>
              <w:pStyle w:val="Heading1"/>
              <w:rPr>
                <w:sz w:val="24"/>
                <w:szCs w:val="24"/>
              </w:rPr>
            </w:pPr>
            <w:r>
              <w:rPr>
                <w:sz w:val="24"/>
                <w:szCs w:val="24"/>
                <w:u w:val="single"/>
              </w:rPr>
              <w:t>DATE</w:t>
            </w:r>
          </w:p>
        </w:tc>
        <w:tc>
          <w:tcPr>
            <w:tcW w:w="4500" w:type="dxa"/>
            <w:tcBorders>
              <w:top w:val="single" w:sz="4" w:space="0" w:color="auto"/>
              <w:left w:val="single" w:sz="4" w:space="0" w:color="auto"/>
              <w:bottom w:val="single" w:sz="4" w:space="0" w:color="auto"/>
              <w:right w:val="single" w:sz="4" w:space="0" w:color="auto"/>
            </w:tcBorders>
            <w:hideMark/>
          </w:tcPr>
          <w:p w14:paraId="6367BE60" w14:textId="77777777" w:rsidR="001454BD" w:rsidRDefault="001454BD">
            <w:pPr>
              <w:pStyle w:val="Heading1"/>
              <w:rPr>
                <w:sz w:val="24"/>
                <w:szCs w:val="24"/>
              </w:rPr>
            </w:pPr>
            <w:r>
              <w:rPr>
                <w:sz w:val="24"/>
                <w:szCs w:val="24"/>
                <w:u w:val="single"/>
              </w:rPr>
              <w:t xml:space="preserve">TOPICS </w:t>
            </w:r>
            <w:r>
              <w:rPr>
                <w:sz w:val="24"/>
                <w:szCs w:val="24"/>
              </w:rPr>
              <w:t xml:space="preserve">                                      </w:t>
            </w:r>
          </w:p>
        </w:tc>
        <w:tc>
          <w:tcPr>
            <w:tcW w:w="2826" w:type="dxa"/>
            <w:tcBorders>
              <w:top w:val="single" w:sz="4" w:space="0" w:color="auto"/>
              <w:left w:val="single" w:sz="4" w:space="0" w:color="auto"/>
              <w:bottom w:val="single" w:sz="4" w:space="0" w:color="auto"/>
              <w:right w:val="single" w:sz="4" w:space="0" w:color="auto"/>
            </w:tcBorders>
            <w:hideMark/>
          </w:tcPr>
          <w:p w14:paraId="1DFF65EF" w14:textId="77777777" w:rsidR="001454BD" w:rsidRDefault="001454BD">
            <w:pPr>
              <w:pStyle w:val="Heading1"/>
              <w:rPr>
                <w:sz w:val="24"/>
                <w:szCs w:val="24"/>
              </w:rPr>
            </w:pPr>
            <w:r>
              <w:rPr>
                <w:sz w:val="24"/>
                <w:szCs w:val="24"/>
                <w:u w:val="single"/>
              </w:rPr>
              <w:t>ASSIGNMENTS</w:t>
            </w:r>
            <w:r>
              <w:rPr>
                <w:sz w:val="24"/>
                <w:szCs w:val="24"/>
              </w:rPr>
              <w:t xml:space="preserve">  </w:t>
            </w:r>
          </w:p>
        </w:tc>
      </w:tr>
      <w:tr w:rsidR="001454BD" w14:paraId="445756C5" w14:textId="77777777" w:rsidTr="001454BD">
        <w:trPr>
          <w:trHeight w:val="440"/>
        </w:trPr>
        <w:tc>
          <w:tcPr>
            <w:tcW w:w="2538" w:type="dxa"/>
            <w:tcBorders>
              <w:top w:val="single" w:sz="4" w:space="0" w:color="auto"/>
              <w:left w:val="single" w:sz="4" w:space="0" w:color="auto"/>
              <w:bottom w:val="single" w:sz="4" w:space="0" w:color="auto"/>
              <w:right w:val="single" w:sz="4" w:space="0" w:color="auto"/>
            </w:tcBorders>
            <w:hideMark/>
          </w:tcPr>
          <w:p w14:paraId="2650722C" w14:textId="77777777" w:rsidR="001454BD" w:rsidRDefault="001454BD">
            <w:pPr>
              <w:pStyle w:val="Heading1"/>
              <w:rPr>
                <w:b w:val="0"/>
                <w:sz w:val="24"/>
                <w:szCs w:val="24"/>
              </w:rPr>
            </w:pPr>
            <w:r>
              <w:rPr>
                <w:b w:val="0"/>
                <w:sz w:val="24"/>
                <w:szCs w:val="24"/>
              </w:rPr>
              <w:t>Week 1:</w:t>
            </w:r>
          </w:p>
          <w:p w14:paraId="7738C079" w14:textId="7B7CF6A1" w:rsidR="001454BD" w:rsidRDefault="001454BD">
            <w:pPr>
              <w:pStyle w:val="Heading1"/>
              <w:rPr>
                <w:b w:val="0"/>
                <w:sz w:val="24"/>
                <w:szCs w:val="24"/>
              </w:rPr>
            </w:pPr>
          </w:p>
        </w:tc>
        <w:tc>
          <w:tcPr>
            <w:tcW w:w="4500" w:type="dxa"/>
            <w:tcBorders>
              <w:top w:val="single" w:sz="4" w:space="0" w:color="auto"/>
              <w:left w:val="single" w:sz="4" w:space="0" w:color="auto"/>
              <w:bottom w:val="single" w:sz="4" w:space="0" w:color="auto"/>
              <w:right w:val="single" w:sz="4" w:space="0" w:color="auto"/>
            </w:tcBorders>
          </w:tcPr>
          <w:p w14:paraId="573CCE87" w14:textId="77777777" w:rsidR="001454BD" w:rsidRDefault="001454BD" w:rsidP="001454BD">
            <w:pPr>
              <w:pStyle w:val="ListParagraph"/>
              <w:numPr>
                <w:ilvl w:val="0"/>
                <w:numId w:val="12"/>
              </w:numPr>
              <w:contextualSpacing w:val="0"/>
            </w:pPr>
            <w:r>
              <w:t>Introduction</w:t>
            </w:r>
          </w:p>
          <w:p w14:paraId="52CBF286" w14:textId="77777777" w:rsidR="001454BD" w:rsidRDefault="001454BD">
            <w:pPr>
              <w:pStyle w:val="ListParagraph"/>
            </w:pPr>
          </w:p>
          <w:p w14:paraId="7523E494" w14:textId="77777777" w:rsidR="001454BD" w:rsidRDefault="001454BD">
            <w:pPr>
              <w:pStyle w:val="ListParagraph"/>
            </w:pPr>
          </w:p>
        </w:tc>
        <w:tc>
          <w:tcPr>
            <w:tcW w:w="2826" w:type="dxa"/>
            <w:tcBorders>
              <w:top w:val="single" w:sz="4" w:space="0" w:color="auto"/>
              <w:left w:val="single" w:sz="4" w:space="0" w:color="auto"/>
              <w:bottom w:val="single" w:sz="4" w:space="0" w:color="auto"/>
              <w:right w:val="single" w:sz="4" w:space="0" w:color="auto"/>
            </w:tcBorders>
          </w:tcPr>
          <w:p w14:paraId="7D05032A" w14:textId="77777777" w:rsidR="001454BD" w:rsidRDefault="001454BD">
            <w:pPr>
              <w:pStyle w:val="Heading1"/>
              <w:rPr>
                <w:b w:val="0"/>
                <w:sz w:val="24"/>
                <w:szCs w:val="24"/>
              </w:rPr>
            </w:pPr>
          </w:p>
        </w:tc>
      </w:tr>
      <w:tr w:rsidR="001454BD" w14:paraId="1B8CE519" w14:textId="77777777">
        <w:tc>
          <w:tcPr>
            <w:tcW w:w="2538" w:type="dxa"/>
            <w:tcBorders>
              <w:top w:val="single" w:sz="4" w:space="0" w:color="auto"/>
              <w:left w:val="single" w:sz="4" w:space="0" w:color="auto"/>
              <w:bottom w:val="single" w:sz="4" w:space="0" w:color="auto"/>
              <w:right w:val="single" w:sz="4" w:space="0" w:color="auto"/>
            </w:tcBorders>
          </w:tcPr>
          <w:p w14:paraId="13465274" w14:textId="3CF968A2" w:rsidR="001454BD" w:rsidRDefault="001454BD">
            <w:pPr>
              <w:tabs>
                <w:tab w:val="left" w:pos="1080"/>
                <w:tab w:val="left" w:pos="5940"/>
              </w:tabs>
              <w:ind w:right="720"/>
            </w:pPr>
            <w:r>
              <w:t xml:space="preserve">Week 2: </w:t>
            </w:r>
            <w:r>
              <w:tab/>
            </w:r>
          </w:p>
          <w:p w14:paraId="0BD5E22B" w14:textId="77777777" w:rsidR="001454BD" w:rsidRDefault="001454BD">
            <w:pPr>
              <w:tabs>
                <w:tab w:val="left" w:pos="1080"/>
                <w:tab w:val="left" w:pos="5940"/>
              </w:tabs>
              <w:ind w:right="720"/>
            </w:pPr>
          </w:p>
          <w:p w14:paraId="27523DAD" w14:textId="77777777" w:rsidR="001454BD" w:rsidRDefault="001454BD">
            <w:pPr>
              <w:tabs>
                <w:tab w:val="left" w:pos="1080"/>
              </w:tabs>
            </w:pPr>
          </w:p>
        </w:tc>
        <w:tc>
          <w:tcPr>
            <w:tcW w:w="4500" w:type="dxa"/>
            <w:tcBorders>
              <w:top w:val="single" w:sz="4" w:space="0" w:color="auto"/>
              <w:left w:val="single" w:sz="4" w:space="0" w:color="auto"/>
              <w:bottom w:val="single" w:sz="4" w:space="0" w:color="auto"/>
              <w:right w:val="single" w:sz="4" w:space="0" w:color="auto"/>
            </w:tcBorders>
            <w:hideMark/>
          </w:tcPr>
          <w:p w14:paraId="1914D637" w14:textId="77777777" w:rsidR="001454BD" w:rsidRDefault="001454BD" w:rsidP="001454BD">
            <w:pPr>
              <w:pStyle w:val="ListParagraph"/>
              <w:numPr>
                <w:ilvl w:val="0"/>
                <w:numId w:val="13"/>
              </w:numPr>
              <w:contextualSpacing w:val="0"/>
            </w:pPr>
            <w:r>
              <w:t>Resources and scarcity</w:t>
            </w:r>
          </w:p>
          <w:p w14:paraId="4F6AB094" w14:textId="77777777" w:rsidR="001454BD" w:rsidRDefault="001454BD" w:rsidP="001454BD">
            <w:pPr>
              <w:pStyle w:val="ListParagraph"/>
              <w:numPr>
                <w:ilvl w:val="0"/>
                <w:numId w:val="13"/>
              </w:numPr>
              <w:contextualSpacing w:val="0"/>
            </w:pPr>
            <w:r>
              <w:t>Saving, investing, and the creation of real capital</w:t>
            </w:r>
          </w:p>
        </w:tc>
        <w:tc>
          <w:tcPr>
            <w:tcW w:w="2826" w:type="dxa"/>
            <w:tcBorders>
              <w:top w:val="single" w:sz="4" w:space="0" w:color="auto"/>
              <w:left w:val="single" w:sz="4" w:space="0" w:color="auto"/>
              <w:bottom w:val="single" w:sz="4" w:space="0" w:color="auto"/>
              <w:right w:val="single" w:sz="4" w:space="0" w:color="auto"/>
            </w:tcBorders>
          </w:tcPr>
          <w:p w14:paraId="4B050B3C" w14:textId="77777777" w:rsidR="001454BD" w:rsidRDefault="001454BD">
            <w:pPr>
              <w:pStyle w:val="Heading1"/>
              <w:rPr>
                <w:b w:val="0"/>
                <w:sz w:val="24"/>
                <w:szCs w:val="24"/>
              </w:rPr>
            </w:pPr>
          </w:p>
        </w:tc>
      </w:tr>
      <w:tr w:rsidR="001454BD" w14:paraId="506B87FE" w14:textId="77777777">
        <w:tc>
          <w:tcPr>
            <w:tcW w:w="2538" w:type="dxa"/>
            <w:tcBorders>
              <w:top w:val="single" w:sz="4" w:space="0" w:color="auto"/>
              <w:left w:val="single" w:sz="4" w:space="0" w:color="auto"/>
              <w:bottom w:val="single" w:sz="4" w:space="0" w:color="auto"/>
              <w:right w:val="single" w:sz="4" w:space="0" w:color="auto"/>
            </w:tcBorders>
          </w:tcPr>
          <w:p w14:paraId="073DC3EE" w14:textId="77777777" w:rsidR="001454BD" w:rsidRDefault="001454BD">
            <w:pPr>
              <w:tabs>
                <w:tab w:val="left" w:pos="1197"/>
                <w:tab w:val="left" w:pos="1440"/>
              </w:tabs>
            </w:pPr>
            <w:r>
              <w:t>Week 3:</w:t>
            </w:r>
          </w:p>
          <w:p w14:paraId="707E3BEA" w14:textId="77777777" w:rsidR="001454BD" w:rsidRDefault="001454BD" w:rsidP="001454BD">
            <w:pPr>
              <w:tabs>
                <w:tab w:val="left" w:pos="1197"/>
                <w:tab w:val="left" w:pos="1440"/>
              </w:tabs>
            </w:pPr>
          </w:p>
        </w:tc>
        <w:tc>
          <w:tcPr>
            <w:tcW w:w="4500" w:type="dxa"/>
            <w:tcBorders>
              <w:top w:val="single" w:sz="4" w:space="0" w:color="auto"/>
              <w:left w:val="single" w:sz="4" w:space="0" w:color="auto"/>
              <w:bottom w:val="single" w:sz="4" w:space="0" w:color="auto"/>
              <w:right w:val="single" w:sz="4" w:space="0" w:color="auto"/>
            </w:tcBorders>
          </w:tcPr>
          <w:p w14:paraId="35CD7CFD" w14:textId="77777777" w:rsidR="001454BD" w:rsidRDefault="001454BD" w:rsidP="001454BD">
            <w:pPr>
              <w:pStyle w:val="Heading1"/>
              <w:keepLines w:val="0"/>
              <w:numPr>
                <w:ilvl w:val="0"/>
                <w:numId w:val="14"/>
              </w:numPr>
              <w:rPr>
                <w:b w:val="0"/>
                <w:bCs/>
                <w:sz w:val="24"/>
                <w:szCs w:val="24"/>
              </w:rPr>
            </w:pPr>
            <w:r>
              <w:rPr>
                <w:b w:val="0"/>
                <w:bCs/>
                <w:sz w:val="24"/>
                <w:szCs w:val="24"/>
              </w:rPr>
              <w:t>Opportunity cost</w:t>
            </w:r>
          </w:p>
          <w:p w14:paraId="2740CEDA" w14:textId="77777777" w:rsidR="001454BD" w:rsidRDefault="001454BD" w:rsidP="001454BD">
            <w:pPr>
              <w:pStyle w:val="Heading1"/>
              <w:keepLines w:val="0"/>
              <w:numPr>
                <w:ilvl w:val="0"/>
                <w:numId w:val="14"/>
              </w:numPr>
              <w:rPr>
                <w:b w:val="0"/>
                <w:sz w:val="24"/>
                <w:szCs w:val="24"/>
              </w:rPr>
            </w:pPr>
            <w:proofErr w:type="spellStart"/>
            <w:r>
              <w:rPr>
                <w:b w:val="0"/>
                <w:sz w:val="24"/>
                <w:szCs w:val="24"/>
              </w:rPr>
              <w:t>Marginalism</w:t>
            </w:r>
            <w:proofErr w:type="spellEnd"/>
          </w:p>
          <w:p w14:paraId="7C4C4BF8" w14:textId="77777777" w:rsidR="001454BD" w:rsidRDefault="001454BD">
            <w:pPr>
              <w:pStyle w:val="ListParagraph"/>
            </w:pPr>
          </w:p>
        </w:tc>
        <w:tc>
          <w:tcPr>
            <w:tcW w:w="2826" w:type="dxa"/>
            <w:tcBorders>
              <w:top w:val="single" w:sz="4" w:space="0" w:color="auto"/>
              <w:left w:val="single" w:sz="4" w:space="0" w:color="auto"/>
              <w:bottom w:val="single" w:sz="4" w:space="0" w:color="auto"/>
              <w:right w:val="single" w:sz="4" w:space="0" w:color="auto"/>
            </w:tcBorders>
          </w:tcPr>
          <w:p w14:paraId="160B73F0" w14:textId="77777777" w:rsidR="001454BD" w:rsidRDefault="001454BD">
            <w:pPr>
              <w:tabs>
                <w:tab w:val="left" w:pos="1080"/>
                <w:tab w:val="left" w:pos="5940"/>
              </w:tabs>
              <w:ind w:right="720"/>
            </w:pPr>
          </w:p>
        </w:tc>
      </w:tr>
      <w:tr w:rsidR="001454BD" w14:paraId="0A134184" w14:textId="77777777">
        <w:trPr>
          <w:trHeight w:val="953"/>
        </w:trPr>
        <w:tc>
          <w:tcPr>
            <w:tcW w:w="2538" w:type="dxa"/>
            <w:tcBorders>
              <w:top w:val="single" w:sz="4" w:space="0" w:color="auto"/>
              <w:left w:val="single" w:sz="4" w:space="0" w:color="auto"/>
              <w:bottom w:val="single" w:sz="4" w:space="0" w:color="auto"/>
              <w:right w:val="single" w:sz="4" w:space="0" w:color="auto"/>
            </w:tcBorders>
          </w:tcPr>
          <w:p w14:paraId="4AE890C5" w14:textId="63660155" w:rsidR="001454BD" w:rsidRDefault="001454BD">
            <w:pPr>
              <w:tabs>
                <w:tab w:val="left" w:pos="1080"/>
                <w:tab w:val="left" w:pos="5940"/>
              </w:tabs>
              <w:ind w:right="720"/>
            </w:pPr>
            <w:r>
              <w:t xml:space="preserve">Week 4:          </w:t>
            </w:r>
          </w:p>
          <w:p w14:paraId="5706A058" w14:textId="77777777" w:rsidR="001454BD" w:rsidRDefault="001454BD">
            <w:pPr>
              <w:pStyle w:val="Heading1"/>
              <w:rPr>
                <w:b w:val="0"/>
                <w:sz w:val="24"/>
                <w:szCs w:val="24"/>
              </w:rPr>
            </w:pPr>
          </w:p>
        </w:tc>
        <w:tc>
          <w:tcPr>
            <w:tcW w:w="4500" w:type="dxa"/>
            <w:tcBorders>
              <w:top w:val="single" w:sz="4" w:space="0" w:color="auto"/>
              <w:left w:val="single" w:sz="4" w:space="0" w:color="auto"/>
              <w:bottom w:val="single" w:sz="4" w:space="0" w:color="auto"/>
              <w:right w:val="single" w:sz="4" w:space="0" w:color="auto"/>
            </w:tcBorders>
            <w:hideMark/>
          </w:tcPr>
          <w:p w14:paraId="34423473" w14:textId="77777777" w:rsidR="001454BD" w:rsidRDefault="001454BD" w:rsidP="001454BD">
            <w:pPr>
              <w:pStyle w:val="Heading1"/>
              <w:keepLines w:val="0"/>
              <w:numPr>
                <w:ilvl w:val="0"/>
                <w:numId w:val="14"/>
              </w:numPr>
              <w:rPr>
                <w:b w:val="0"/>
                <w:bCs/>
                <w:sz w:val="24"/>
                <w:szCs w:val="24"/>
              </w:rPr>
            </w:pPr>
            <w:r>
              <w:rPr>
                <w:b w:val="0"/>
                <w:bCs/>
                <w:sz w:val="24"/>
                <w:szCs w:val="24"/>
              </w:rPr>
              <w:t>Specialization and exchange</w:t>
            </w:r>
          </w:p>
          <w:p w14:paraId="6AE2E981" w14:textId="77777777" w:rsidR="001454BD" w:rsidRDefault="001454BD" w:rsidP="001454BD">
            <w:pPr>
              <w:pStyle w:val="Heading1"/>
              <w:keepLines w:val="0"/>
              <w:numPr>
                <w:ilvl w:val="0"/>
                <w:numId w:val="14"/>
              </w:numPr>
              <w:rPr>
                <w:sz w:val="20"/>
                <w:szCs w:val="20"/>
              </w:rPr>
            </w:pPr>
            <w:r>
              <w:rPr>
                <w:b w:val="0"/>
                <w:sz w:val="24"/>
                <w:szCs w:val="24"/>
              </w:rPr>
              <w:t>Demand</w:t>
            </w:r>
          </w:p>
        </w:tc>
        <w:tc>
          <w:tcPr>
            <w:tcW w:w="2826" w:type="dxa"/>
            <w:tcBorders>
              <w:top w:val="single" w:sz="4" w:space="0" w:color="auto"/>
              <w:left w:val="single" w:sz="4" w:space="0" w:color="auto"/>
              <w:bottom w:val="single" w:sz="4" w:space="0" w:color="auto"/>
              <w:right w:val="single" w:sz="4" w:space="0" w:color="auto"/>
            </w:tcBorders>
            <w:hideMark/>
          </w:tcPr>
          <w:p w14:paraId="1E24EFE1" w14:textId="77777777" w:rsidR="001454BD" w:rsidRDefault="001454BD">
            <w:pPr>
              <w:pStyle w:val="Heading1"/>
              <w:rPr>
                <w:b w:val="0"/>
                <w:sz w:val="24"/>
                <w:szCs w:val="24"/>
              </w:rPr>
            </w:pPr>
            <w:r>
              <w:rPr>
                <w:b w:val="0"/>
                <w:sz w:val="24"/>
                <w:szCs w:val="24"/>
              </w:rPr>
              <w:t>Quiz</w:t>
            </w:r>
          </w:p>
        </w:tc>
      </w:tr>
      <w:tr w:rsidR="001454BD" w14:paraId="7E061C51" w14:textId="77777777">
        <w:tc>
          <w:tcPr>
            <w:tcW w:w="2538" w:type="dxa"/>
            <w:tcBorders>
              <w:top w:val="single" w:sz="4" w:space="0" w:color="auto"/>
              <w:left w:val="single" w:sz="4" w:space="0" w:color="auto"/>
              <w:bottom w:val="single" w:sz="4" w:space="0" w:color="auto"/>
              <w:right w:val="single" w:sz="4" w:space="0" w:color="auto"/>
            </w:tcBorders>
          </w:tcPr>
          <w:p w14:paraId="1FC50FF7" w14:textId="77777777" w:rsidR="001454BD" w:rsidRDefault="001454BD">
            <w:pPr>
              <w:tabs>
                <w:tab w:val="left" w:pos="1080"/>
                <w:tab w:val="left" w:pos="5940"/>
              </w:tabs>
              <w:ind w:right="720"/>
            </w:pPr>
            <w:r>
              <w:t>Week 5:</w:t>
            </w:r>
          </w:p>
          <w:p w14:paraId="7D9B3398" w14:textId="77777777" w:rsidR="001454BD" w:rsidRDefault="001454BD" w:rsidP="001454BD">
            <w:pPr>
              <w:tabs>
                <w:tab w:val="left" w:pos="1080"/>
                <w:tab w:val="left" w:pos="5940"/>
              </w:tabs>
              <w:ind w:right="720"/>
            </w:pPr>
          </w:p>
        </w:tc>
        <w:tc>
          <w:tcPr>
            <w:tcW w:w="4500" w:type="dxa"/>
            <w:tcBorders>
              <w:top w:val="single" w:sz="4" w:space="0" w:color="auto"/>
              <w:left w:val="single" w:sz="4" w:space="0" w:color="auto"/>
              <w:bottom w:val="single" w:sz="4" w:space="0" w:color="auto"/>
              <w:right w:val="single" w:sz="4" w:space="0" w:color="auto"/>
            </w:tcBorders>
          </w:tcPr>
          <w:p w14:paraId="46173ED6" w14:textId="77777777" w:rsidR="001454BD" w:rsidRDefault="001454BD" w:rsidP="001454BD">
            <w:pPr>
              <w:pStyle w:val="Heading1"/>
              <w:keepLines w:val="0"/>
              <w:numPr>
                <w:ilvl w:val="0"/>
                <w:numId w:val="14"/>
              </w:numPr>
              <w:rPr>
                <w:b w:val="0"/>
                <w:sz w:val="24"/>
                <w:szCs w:val="24"/>
              </w:rPr>
            </w:pPr>
            <w:r>
              <w:rPr>
                <w:b w:val="0"/>
                <w:sz w:val="24"/>
                <w:szCs w:val="24"/>
              </w:rPr>
              <w:t>Supply</w:t>
            </w:r>
          </w:p>
          <w:p w14:paraId="04D271E3" w14:textId="77777777" w:rsidR="001454BD" w:rsidRDefault="001454BD" w:rsidP="001454BD">
            <w:pPr>
              <w:pStyle w:val="Heading1"/>
              <w:keepLines w:val="0"/>
              <w:numPr>
                <w:ilvl w:val="0"/>
                <w:numId w:val="14"/>
              </w:numPr>
              <w:rPr>
                <w:b w:val="0"/>
                <w:sz w:val="24"/>
                <w:szCs w:val="24"/>
              </w:rPr>
            </w:pPr>
            <w:r>
              <w:rPr>
                <w:b w:val="0"/>
                <w:sz w:val="24"/>
                <w:szCs w:val="24"/>
              </w:rPr>
              <w:t>Market equilibrium</w:t>
            </w:r>
          </w:p>
          <w:p w14:paraId="1867B249" w14:textId="77777777" w:rsidR="001454BD" w:rsidRDefault="001454BD">
            <w:pPr>
              <w:pStyle w:val="Heading1"/>
              <w:ind w:left="720"/>
              <w:rPr>
                <w:b w:val="0"/>
                <w:sz w:val="24"/>
                <w:szCs w:val="24"/>
              </w:rPr>
            </w:pPr>
          </w:p>
        </w:tc>
        <w:tc>
          <w:tcPr>
            <w:tcW w:w="2826" w:type="dxa"/>
            <w:tcBorders>
              <w:top w:val="single" w:sz="4" w:space="0" w:color="auto"/>
              <w:left w:val="single" w:sz="4" w:space="0" w:color="auto"/>
              <w:bottom w:val="single" w:sz="4" w:space="0" w:color="auto"/>
              <w:right w:val="single" w:sz="4" w:space="0" w:color="auto"/>
            </w:tcBorders>
            <w:hideMark/>
          </w:tcPr>
          <w:p w14:paraId="5D2F636C" w14:textId="77777777" w:rsidR="001454BD" w:rsidRDefault="001454BD">
            <w:pPr>
              <w:pStyle w:val="Heading1"/>
              <w:rPr>
                <w:b w:val="0"/>
                <w:bCs/>
                <w:sz w:val="24"/>
                <w:szCs w:val="24"/>
              </w:rPr>
            </w:pPr>
            <w:r>
              <w:rPr>
                <w:b w:val="0"/>
                <w:bCs/>
                <w:sz w:val="24"/>
                <w:szCs w:val="24"/>
              </w:rPr>
              <w:t>Short paper</w:t>
            </w:r>
          </w:p>
        </w:tc>
      </w:tr>
      <w:tr w:rsidR="001454BD" w14:paraId="192EDC26" w14:textId="77777777">
        <w:tc>
          <w:tcPr>
            <w:tcW w:w="2538" w:type="dxa"/>
            <w:tcBorders>
              <w:top w:val="single" w:sz="4" w:space="0" w:color="auto"/>
              <w:left w:val="single" w:sz="4" w:space="0" w:color="auto"/>
              <w:bottom w:val="single" w:sz="4" w:space="0" w:color="auto"/>
              <w:right w:val="single" w:sz="4" w:space="0" w:color="auto"/>
            </w:tcBorders>
            <w:hideMark/>
          </w:tcPr>
          <w:p w14:paraId="4B7959D1" w14:textId="77777777" w:rsidR="001454BD" w:rsidRDefault="001454BD">
            <w:pPr>
              <w:tabs>
                <w:tab w:val="left" w:pos="1080"/>
                <w:tab w:val="left" w:pos="5940"/>
              </w:tabs>
              <w:ind w:right="720"/>
            </w:pPr>
            <w:r>
              <w:t>Week 6:</w:t>
            </w:r>
          </w:p>
          <w:p w14:paraId="097793A6" w14:textId="5B4DFF2E" w:rsidR="001454BD" w:rsidRDefault="001454BD">
            <w:pPr>
              <w:tabs>
                <w:tab w:val="left" w:pos="1080"/>
                <w:tab w:val="left" w:pos="5940"/>
              </w:tabs>
              <w:ind w:right="720"/>
            </w:pPr>
            <w:r>
              <w:t xml:space="preserve">   </w:t>
            </w:r>
          </w:p>
          <w:p w14:paraId="4B681049" w14:textId="77777777" w:rsidR="001454BD" w:rsidRDefault="001454BD">
            <w:pPr>
              <w:pStyle w:val="Heading1"/>
              <w:rPr>
                <w:b w:val="0"/>
                <w:sz w:val="24"/>
                <w:szCs w:val="24"/>
              </w:rPr>
            </w:pPr>
            <w:r>
              <w:rPr>
                <w:b w:val="0"/>
                <w:sz w:val="24"/>
                <w:szCs w:val="24"/>
              </w:rPr>
              <w:t xml:space="preserve"> </w:t>
            </w:r>
          </w:p>
        </w:tc>
        <w:tc>
          <w:tcPr>
            <w:tcW w:w="4500" w:type="dxa"/>
            <w:tcBorders>
              <w:top w:val="single" w:sz="4" w:space="0" w:color="auto"/>
              <w:left w:val="single" w:sz="4" w:space="0" w:color="auto"/>
              <w:bottom w:val="single" w:sz="4" w:space="0" w:color="auto"/>
              <w:right w:val="single" w:sz="4" w:space="0" w:color="auto"/>
            </w:tcBorders>
          </w:tcPr>
          <w:p w14:paraId="72459735" w14:textId="77777777" w:rsidR="001454BD" w:rsidRDefault="001454BD" w:rsidP="001454BD">
            <w:pPr>
              <w:pStyle w:val="Heading1"/>
              <w:keepLines w:val="0"/>
              <w:numPr>
                <w:ilvl w:val="0"/>
                <w:numId w:val="14"/>
              </w:numPr>
              <w:rPr>
                <w:b w:val="0"/>
                <w:sz w:val="24"/>
                <w:szCs w:val="24"/>
              </w:rPr>
            </w:pPr>
            <w:r>
              <w:rPr>
                <w:b w:val="0"/>
                <w:sz w:val="24"/>
                <w:szCs w:val="24"/>
              </w:rPr>
              <w:t>Why free markets are good</w:t>
            </w:r>
          </w:p>
          <w:p w14:paraId="72C6D286" w14:textId="77777777" w:rsidR="001454BD" w:rsidRDefault="001454BD" w:rsidP="001454BD">
            <w:pPr>
              <w:pStyle w:val="Heading1"/>
              <w:keepLines w:val="0"/>
              <w:numPr>
                <w:ilvl w:val="0"/>
                <w:numId w:val="14"/>
              </w:numPr>
              <w:rPr>
                <w:b w:val="0"/>
                <w:sz w:val="24"/>
                <w:szCs w:val="24"/>
              </w:rPr>
            </w:pPr>
            <w:r>
              <w:rPr>
                <w:b w:val="0"/>
                <w:sz w:val="24"/>
                <w:szCs w:val="24"/>
              </w:rPr>
              <w:t>How free markets can fail</w:t>
            </w:r>
          </w:p>
          <w:p w14:paraId="50874BB3" w14:textId="77777777" w:rsidR="001454BD" w:rsidRDefault="001454BD">
            <w:pPr>
              <w:pStyle w:val="Heading1"/>
              <w:ind w:left="720"/>
              <w:rPr>
                <w:b w:val="0"/>
                <w:sz w:val="24"/>
                <w:szCs w:val="24"/>
              </w:rPr>
            </w:pPr>
          </w:p>
        </w:tc>
        <w:tc>
          <w:tcPr>
            <w:tcW w:w="2826" w:type="dxa"/>
            <w:tcBorders>
              <w:top w:val="single" w:sz="4" w:space="0" w:color="auto"/>
              <w:left w:val="single" w:sz="4" w:space="0" w:color="auto"/>
              <w:bottom w:val="single" w:sz="4" w:space="0" w:color="auto"/>
              <w:right w:val="single" w:sz="4" w:space="0" w:color="auto"/>
            </w:tcBorders>
            <w:hideMark/>
          </w:tcPr>
          <w:p w14:paraId="716FF6F4" w14:textId="77777777" w:rsidR="001454BD" w:rsidRDefault="001454BD">
            <w:pPr>
              <w:tabs>
                <w:tab w:val="left" w:pos="1080"/>
                <w:tab w:val="left" w:pos="5940"/>
              </w:tabs>
              <w:ind w:right="720"/>
            </w:pPr>
            <w:r>
              <w:t>Quiz</w:t>
            </w:r>
          </w:p>
          <w:p w14:paraId="6F61E22D" w14:textId="77777777" w:rsidR="001454BD" w:rsidRDefault="001454BD">
            <w:pPr>
              <w:tabs>
                <w:tab w:val="left" w:pos="1080"/>
                <w:tab w:val="left" w:pos="5940"/>
              </w:tabs>
              <w:ind w:right="720"/>
            </w:pPr>
            <w:r>
              <w:t>Short paper</w:t>
            </w:r>
          </w:p>
        </w:tc>
      </w:tr>
      <w:tr w:rsidR="001454BD" w14:paraId="6AE40855" w14:textId="77777777">
        <w:tc>
          <w:tcPr>
            <w:tcW w:w="2538" w:type="dxa"/>
            <w:tcBorders>
              <w:top w:val="single" w:sz="4" w:space="0" w:color="auto"/>
              <w:left w:val="single" w:sz="4" w:space="0" w:color="auto"/>
              <w:bottom w:val="single" w:sz="4" w:space="0" w:color="auto"/>
              <w:right w:val="single" w:sz="4" w:space="0" w:color="auto"/>
            </w:tcBorders>
            <w:hideMark/>
          </w:tcPr>
          <w:p w14:paraId="30E66734" w14:textId="6955099D" w:rsidR="001454BD" w:rsidRDefault="001454BD">
            <w:pPr>
              <w:tabs>
                <w:tab w:val="left" w:pos="1080"/>
                <w:tab w:val="left" w:pos="5040"/>
              </w:tabs>
            </w:pPr>
            <w:r>
              <w:t>Week 7:</w:t>
            </w:r>
          </w:p>
        </w:tc>
        <w:tc>
          <w:tcPr>
            <w:tcW w:w="4500" w:type="dxa"/>
            <w:tcBorders>
              <w:top w:val="single" w:sz="4" w:space="0" w:color="auto"/>
              <w:left w:val="single" w:sz="4" w:space="0" w:color="auto"/>
              <w:bottom w:val="single" w:sz="4" w:space="0" w:color="auto"/>
              <w:right w:val="single" w:sz="4" w:space="0" w:color="auto"/>
            </w:tcBorders>
          </w:tcPr>
          <w:p w14:paraId="121211FB" w14:textId="77777777" w:rsidR="001454BD" w:rsidRDefault="001454BD" w:rsidP="001454BD">
            <w:pPr>
              <w:pStyle w:val="Heading1"/>
              <w:keepLines w:val="0"/>
              <w:numPr>
                <w:ilvl w:val="0"/>
                <w:numId w:val="14"/>
              </w:numPr>
              <w:rPr>
                <w:b w:val="0"/>
                <w:sz w:val="24"/>
                <w:szCs w:val="24"/>
              </w:rPr>
            </w:pPr>
            <w:r>
              <w:rPr>
                <w:b w:val="0"/>
                <w:sz w:val="24"/>
                <w:szCs w:val="24"/>
              </w:rPr>
              <w:t>Air pollution case study</w:t>
            </w:r>
          </w:p>
          <w:p w14:paraId="5A4886B9" w14:textId="77777777" w:rsidR="001454BD" w:rsidRDefault="001454BD">
            <w:pPr>
              <w:pStyle w:val="ListParagraph"/>
            </w:pPr>
          </w:p>
        </w:tc>
        <w:tc>
          <w:tcPr>
            <w:tcW w:w="2826" w:type="dxa"/>
            <w:tcBorders>
              <w:top w:val="single" w:sz="4" w:space="0" w:color="auto"/>
              <w:left w:val="single" w:sz="4" w:space="0" w:color="auto"/>
              <w:bottom w:val="single" w:sz="4" w:space="0" w:color="auto"/>
              <w:right w:val="single" w:sz="4" w:space="0" w:color="auto"/>
            </w:tcBorders>
          </w:tcPr>
          <w:p w14:paraId="2B655E6B" w14:textId="77777777" w:rsidR="001454BD" w:rsidRDefault="001454BD">
            <w:pPr>
              <w:pStyle w:val="Heading1"/>
              <w:rPr>
                <w:b w:val="0"/>
                <w:sz w:val="24"/>
                <w:szCs w:val="24"/>
              </w:rPr>
            </w:pPr>
          </w:p>
        </w:tc>
      </w:tr>
      <w:tr w:rsidR="001454BD" w14:paraId="311C502A" w14:textId="77777777">
        <w:tc>
          <w:tcPr>
            <w:tcW w:w="2538" w:type="dxa"/>
            <w:tcBorders>
              <w:top w:val="single" w:sz="4" w:space="0" w:color="auto"/>
              <w:left w:val="single" w:sz="4" w:space="0" w:color="auto"/>
              <w:bottom w:val="single" w:sz="4" w:space="0" w:color="auto"/>
              <w:right w:val="single" w:sz="4" w:space="0" w:color="auto"/>
            </w:tcBorders>
          </w:tcPr>
          <w:p w14:paraId="4920A06F" w14:textId="77777777" w:rsidR="001454BD" w:rsidRDefault="001454BD">
            <w:pPr>
              <w:tabs>
                <w:tab w:val="left" w:pos="1080"/>
                <w:tab w:val="left" w:pos="1170"/>
                <w:tab w:val="left" w:pos="5040"/>
              </w:tabs>
            </w:pPr>
            <w:r>
              <w:t>Week 8:</w:t>
            </w:r>
          </w:p>
          <w:p w14:paraId="38F6E603" w14:textId="77777777" w:rsidR="001454BD" w:rsidRDefault="001454BD">
            <w:pPr>
              <w:tabs>
                <w:tab w:val="left" w:pos="1080"/>
                <w:tab w:val="left" w:pos="1170"/>
                <w:tab w:val="left" w:pos="5040"/>
              </w:tabs>
            </w:pPr>
          </w:p>
          <w:p w14:paraId="72E2DA54" w14:textId="77777777" w:rsidR="001454BD" w:rsidRDefault="001454BD">
            <w:pPr>
              <w:tabs>
                <w:tab w:val="left" w:pos="1080"/>
                <w:tab w:val="left" w:pos="1170"/>
                <w:tab w:val="left" w:pos="5040"/>
              </w:tabs>
            </w:pPr>
          </w:p>
          <w:p w14:paraId="4F72B05E" w14:textId="7E5EAD37" w:rsidR="001454BD" w:rsidRDefault="001454BD">
            <w:pPr>
              <w:tabs>
                <w:tab w:val="left" w:pos="1080"/>
                <w:tab w:val="left" w:pos="1170"/>
                <w:tab w:val="left" w:pos="5040"/>
              </w:tabs>
              <w:rPr>
                <w:b/>
              </w:rPr>
            </w:pPr>
            <w:r>
              <w:tab/>
            </w:r>
          </w:p>
        </w:tc>
        <w:tc>
          <w:tcPr>
            <w:tcW w:w="4500" w:type="dxa"/>
            <w:tcBorders>
              <w:top w:val="single" w:sz="4" w:space="0" w:color="auto"/>
              <w:left w:val="single" w:sz="4" w:space="0" w:color="auto"/>
              <w:bottom w:val="single" w:sz="4" w:space="0" w:color="auto"/>
              <w:right w:val="single" w:sz="4" w:space="0" w:color="auto"/>
            </w:tcBorders>
          </w:tcPr>
          <w:p w14:paraId="7DE4E5D4" w14:textId="77777777" w:rsidR="001454BD" w:rsidRDefault="001454BD">
            <w:pPr>
              <w:pStyle w:val="Heading1"/>
              <w:ind w:left="720"/>
              <w:rPr>
                <w:b w:val="0"/>
                <w:sz w:val="24"/>
                <w:szCs w:val="24"/>
              </w:rPr>
            </w:pPr>
          </w:p>
          <w:p w14:paraId="396F9608" w14:textId="6FDD0152" w:rsidR="001454BD" w:rsidRPr="001454BD" w:rsidRDefault="001454BD" w:rsidP="001454BD">
            <w:pPr>
              <w:pStyle w:val="Heading1"/>
              <w:keepLines w:val="0"/>
              <w:numPr>
                <w:ilvl w:val="0"/>
                <w:numId w:val="15"/>
              </w:numPr>
              <w:rPr>
                <w:b w:val="0"/>
                <w:sz w:val="24"/>
                <w:szCs w:val="24"/>
              </w:rPr>
            </w:pPr>
            <w:r>
              <w:rPr>
                <w:b w:val="0"/>
                <w:sz w:val="24"/>
                <w:szCs w:val="24"/>
              </w:rPr>
              <w:t>Gross domestic product</w:t>
            </w:r>
          </w:p>
        </w:tc>
        <w:tc>
          <w:tcPr>
            <w:tcW w:w="2826" w:type="dxa"/>
            <w:tcBorders>
              <w:top w:val="single" w:sz="4" w:space="0" w:color="auto"/>
              <w:left w:val="single" w:sz="4" w:space="0" w:color="auto"/>
              <w:bottom w:val="single" w:sz="4" w:space="0" w:color="auto"/>
              <w:right w:val="single" w:sz="4" w:space="0" w:color="auto"/>
            </w:tcBorders>
          </w:tcPr>
          <w:p w14:paraId="08DB80EF" w14:textId="77777777" w:rsidR="001454BD" w:rsidRDefault="001454BD">
            <w:pPr>
              <w:pStyle w:val="Heading1"/>
              <w:rPr>
                <w:b w:val="0"/>
                <w:sz w:val="24"/>
                <w:szCs w:val="24"/>
              </w:rPr>
            </w:pPr>
          </w:p>
          <w:p w14:paraId="67EE0400" w14:textId="77777777" w:rsidR="001454BD" w:rsidRDefault="001454BD">
            <w:pPr>
              <w:pStyle w:val="Heading1"/>
              <w:rPr>
                <w:b w:val="0"/>
                <w:sz w:val="24"/>
                <w:szCs w:val="24"/>
              </w:rPr>
            </w:pPr>
            <w:r>
              <w:rPr>
                <w:b w:val="0"/>
                <w:sz w:val="24"/>
                <w:szCs w:val="24"/>
              </w:rPr>
              <w:t>Midterm exam</w:t>
            </w:r>
          </w:p>
        </w:tc>
      </w:tr>
      <w:tr w:rsidR="001454BD" w14:paraId="2FA9044D" w14:textId="77777777">
        <w:trPr>
          <w:trHeight w:val="737"/>
        </w:trPr>
        <w:tc>
          <w:tcPr>
            <w:tcW w:w="2538" w:type="dxa"/>
            <w:tcBorders>
              <w:top w:val="single" w:sz="4" w:space="0" w:color="auto"/>
              <w:left w:val="single" w:sz="4" w:space="0" w:color="auto"/>
              <w:bottom w:val="single" w:sz="4" w:space="0" w:color="auto"/>
              <w:right w:val="single" w:sz="4" w:space="0" w:color="auto"/>
            </w:tcBorders>
          </w:tcPr>
          <w:p w14:paraId="263C1EC5" w14:textId="47D0973A" w:rsidR="001454BD" w:rsidRDefault="001454BD">
            <w:pPr>
              <w:tabs>
                <w:tab w:val="left" w:pos="1080"/>
                <w:tab w:val="left" w:pos="5940"/>
              </w:tabs>
              <w:ind w:right="720"/>
            </w:pPr>
            <w:r>
              <w:lastRenderedPageBreak/>
              <w:t xml:space="preserve">Week </w:t>
            </w:r>
            <w:r>
              <w:rPr>
                <w:rFonts w:hint="eastAsia"/>
                <w:lang w:eastAsia="zh-CN"/>
              </w:rPr>
              <w:t>9</w:t>
            </w:r>
            <w:r>
              <w:t>:</w:t>
            </w:r>
          </w:p>
          <w:p w14:paraId="0AFD6F17" w14:textId="77777777" w:rsidR="001454BD" w:rsidRDefault="001454BD">
            <w:pPr>
              <w:tabs>
                <w:tab w:val="left" w:pos="1080"/>
                <w:tab w:val="left" w:pos="1440"/>
                <w:tab w:val="left" w:pos="5040"/>
              </w:tabs>
            </w:pPr>
            <w:r>
              <w:t xml:space="preserve">                 </w:t>
            </w:r>
          </w:p>
          <w:p w14:paraId="379B70BD" w14:textId="77777777" w:rsidR="001454BD" w:rsidRDefault="001454BD">
            <w:pPr>
              <w:tabs>
                <w:tab w:val="left" w:pos="1080"/>
                <w:tab w:val="left" w:pos="5940"/>
              </w:tabs>
              <w:ind w:right="720"/>
            </w:pPr>
          </w:p>
        </w:tc>
        <w:tc>
          <w:tcPr>
            <w:tcW w:w="4500" w:type="dxa"/>
            <w:tcBorders>
              <w:top w:val="single" w:sz="4" w:space="0" w:color="auto"/>
              <w:left w:val="single" w:sz="4" w:space="0" w:color="auto"/>
              <w:bottom w:val="single" w:sz="4" w:space="0" w:color="auto"/>
              <w:right w:val="single" w:sz="4" w:space="0" w:color="auto"/>
            </w:tcBorders>
          </w:tcPr>
          <w:p w14:paraId="6140E304" w14:textId="77777777" w:rsidR="001454BD" w:rsidRDefault="001454BD" w:rsidP="001454BD">
            <w:pPr>
              <w:pStyle w:val="Heading1"/>
              <w:keepLines w:val="0"/>
              <w:numPr>
                <w:ilvl w:val="0"/>
                <w:numId w:val="15"/>
              </w:numPr>
              <w:rPr>
                <w:b w:val="0"/>
                <w:sz w:val="24"/>
                <w:szCs w:val="24"/>
              </w:rPr>
            </w:pPr>
            <w:r>
              <w:rPr>
                <w:b w:val="0"/>
                <w:sz w:val="24"/>
                <w:szCs w:val="24"/>
              </w:rPr>
              <w:t>Income distribution</w:t>
            </w:r>
          </w:p>
          <w:p w14:paraId="115200EC" w14:textId="77777777" w:rsidR="001454BD" w:rsidRDefault="001454BD" w:rsidP="001454BD">
            <w:pPr>
              <w:pStyle w:val="Heading1"/>
              <w:keepLines w:val="0"/>
              <w:numPr>
                <w:ilvl w:val="0"/>
                <w:numId w:val="15"/>
              </w:numPr>
              <w:rPr>
                <w:b w:val="0"/>
                <w:sz w:val="24"/>
                <w:szCs w:val="24"/>
              </w:rPr>
            </w:pPr>
            <w:r>
              <w:rPr>
                <w:b w:val="0"/>
                <w:sz w:val="24"/>
                <w:szCs w:val="24"/>
              </w:rPr>
              <w:t>Long run growth and the environment</w:t>
            </w:r>
          </w:p>
          <w:p w14:paraId="11FA29DD" w14:textId="77777777" w:rsidR="001454BD" w:rsidRDefault="001454BD">
            <w:pPr>
              <w:pStyle w:val="Heading1"/>
              <w:ind w:left="720"/>
              <w:rPr>
                <w:b w:val="0"/>
                <w:bCs/>
                <w:sz w:val="24"/>
                <w:szCs w:val="24"/>
              </w:rPr>
            </w:pPr>
          </w:p>
        </w:tc>
        <w:tc>
          <w:tcPr>
            <w:tcW w:w="2826" w:type="dxa"/>
            <w:tcBorders>
              <w:top w:val="single" w:sz="4" w:space="0" w:color="auto"/>
              <w:left w:val="single" w:sz="4" w:space="0" w:color="auto"/>
              <w:bottom w:val="single" w:sz="4" w:space="0" w:color="auto"/>
              <w:right w:val="single" w:sz="4" w:space="0" w:color="auto"/>
            </w:tcBorders>
          </w:tcPr>
          <w:p w14:paraId="4524CBBE" w14:textId="77777777" w:rsidR="001454BD" w:rsidRDefault="001454BD">
            <w:pPr>
              <w:pStyle w:val="Heading1"/>
              <w:rPr>
                <w:b w:val="0"/>
                <w:sz w:val="24"/>
                <w:szCs w:val="24"/>
              </w:rPr>
            </w:pPr>
          </w:p>
        </w:tc>
      </w:tr>
      <w:tr w:rsidR="001454BD" w14:paraId="407A454A" w14:textId="77777777">
        <w:trPr>
          <w:trHeight w:val="638"/>
        </w:trPr>
        <w:tc>
          <w:tcPr>
            <w:tcW w:w="2538" w:type="dxa"/>
            <w:tcBorders>
              <w:top w:val="single" w:sz="4" w:space="0" w:color="auto"/>
              <w:left w:val="single" w:sz="4" w:space="0" w:color="auto"/>
              <w:bottom w:val="single" w:sz="4" w:space="0" w:color="auto"/>
              <w:right w:val="single" w:sz="4" w:space="0" w:color="auto"/>
            </w:tcBorders>
          </w:tcPr>
          <w:p w14:paraId="0216D45E" w14:textId="77777777" w:rsidR="001454BD" w:rsidRDefault="001454BD">
            <w:pPr>
              <w:tabs>
                <w:tab w:val="left" w:pos="1080"/>
                <w:tab w:val="left" w:pos="5940"/>
              </w:tabs>
              <w:ind w:right="720"/>
            </w:pPr>
            <w:r>
              <w:t>Week 10:</w:t>
            </w:r>
          </w:p>
          <w:p w14:paraId="40DDDE2F" w14:textId="11280760" w:rsidR="001454BD" w:rsidRDefault="001454BD">
            <w:pPr>
              <w:tabs>
                <w:tab w:val="left" w:pos="1080"/>
                <w:tab w:val="left" w:pos="5940"/>
              </w:tabs>
              <w:ind w:right="720"/>
            </w:pPr>
            <w:r>
              <w:t xml:space="preserve">            </w:t>
            </w:r>
          </w:p>
          <w:p w14:paraId="1AA18839" w14:textId="77777777" w:rsidR="001454BD" w:rsidRDefault="001454BD">
            <w:pPr>
              <w:tabs>
                <w:tab w:val="left" w:pos="1197"/>
                <w:tab w:val="left" w:pos="1440"/>
              </w:tabs>
            </w:pPr>
          </w:p>
        </w:tc>
        <w:tc>
          <w:tcPr>
            <w:tcW w:w="4500" w:type="dxa"/>
            <w:tcBorders>
              <w:top w:val="single" w:sz="4" w:space="0" w:color="auto"/>
              <w:left w:val="single" w:sz="4" w:space="0" w:color="auto"/>
              <w:bottom w:val="single" w:sz="4" w:space="0" w:color="auto"/>
              <w:right w:val="single" w:sz="4" w:space="0" w:color="auto"/>
            </w:tcBorders>
          </w:tcPr>
          <w:p w14:paraId="41F3A057" w14:textId="77777777" w:rsidR="001454BD" w:rsidRDefault="001454BD" w:rsidP="001454BD">
            <w:pPr>
              <w:pStyle w:val="Heading1"/>
              <w:keepLines w:val="0"/>
              <w:numPr>
                <w:ilvl w:val="0"/>
                <w:numId w:val="15"/>
              </w:numPr>
              <w:rPr>
                <w:b w:val="0"/>
                <w:sz w:val="24"/>
                <w:szCs w:val="24"/>
              </w:rPr>
            </w:pPr>
            <w:r>
              <w:rPr>
                <w:b w:val="0"/>
                <w:bCs/>
                <w:sz w:val="24"/>
                <w:szCs w:val="24"/>
              </w:rPr>
              <w:t>Unemployment, inflation, and business cycles</w:t>
            </w:r>
          </w:p>
          <w:p w14:paraId="3A5AF4D6" w14:textId="77777777" w:rsidR="001454BD" w:rsidRDefault="001454BD" w:rsidP="001454BD">
            <w:pPr>
              <w:pStyle w:val="Heading1"/>
              <w:keepLines w:val="0"/>
              <w:numPr>
                <w:ilvl w:val="0"/>
                <w:numId w:val="15"/>
              </w:numPr>
              <w:rPr>
                <w:b w:val="0"/>
                <w:sz w:val="24"/>
                <w:szCs w:val="24"/>
              </w:rPr>
            </w:pPr>
            <w:r>
              <w:rPr>
                <w:b w:val="0"/>
                <w:sz w:val="24"/>
                <w:szCs w:val="24"/>
              </w:rPr>
              <w:t>Money and banking</w:t>
            </w:r>
          </w:p>
          <w:p w14:paraId="4E6F774E" w14:textId="77777777" w:rsidR="001454BD" w:rsidRDefault="001454BD">
            <w:pPr>
              <w:pStyle w:val="ListParagraph"/>
            </w:pPr>
          </w:p>
        </w:tc>
        <w:tc>
          <w:tcPr>
            <w:tcW w:w="2826" w:type="dxa"/>
            <w:tcBorders>
              <w:top w:val="single" w:sz="4" w:space="0" w:color="auto"/>
              <w:left w:val="single" w:sz="4" w:space="0" w:color="auto"/>
              <w:bottom w:val="single" w:sz="4" w:space="0" w:color="auto"/>
              <w:right w:val="single" w:sz="4" w:space="0" w:color="auto"/>
            </w:tcBorders>
          </w:tcPr>
          <w:p w14:paraId="2540C2B4" w14:textId="77777777" w:rsidR="001454BD" w:rsidRDefault="001454BD">
            <w:pPr>
              <w:tabs>
                <w:tab w:val="left" w:pos="1080"/>
                <w:tab w:val="left" w:pos="5940"/>
              </w:tabs>
              <w:ind w:right="720"/>
            </w:pPr>
          </w:p>
        </w:tc>
      </w:tr>
      <w:tr w:rsidR="001454BD" w14:paraId="4F776817" w14:textId="77777777">
        <w:tc>
          <w:tcPr>
            <w:tcW w:w="2538" w:type="dxa"/>
            <w:tcBorders>
              <w:top w:val="single" w:sz="4" w:space="0" w:color="auto"/>
              <w:left w:val="single" w:sz="4" w:space="0" w:color="auto"/>
              <w:bottom w:val="single" w:sz="4" w:space="0" w:color="auto"/>
              <w:right w:val="single" w:sz="4" w:space="0" w:color="auto"/>
            </w:tcBorders>
          </w:tcPr>
          <w:p w14:paraId="2DC0EFD1" w14:textId="77777777" w:rsidR="001454BD" w:rsidRDefault="001454BD">
            <w:pPr>
              <w:tabs>
                <w:tab w:val="left" w:pos="1080"/>
                <w:tab w:val="left" w:pos="1440"/>
                <w:tab w:val="left" w:pos="5040"/>
              </w:tabs>
            </w:pPr>
            <w:r>
              <w:t>Week 11:</w:t>
            </w:r>
          </w:p>
          <w:p w14:paraId="32EEA043" w14:textId="77777777" w:rsidR="001454BD" w:rsidRDefault="001454BD" w:rsidP="001454BD">
            <w:pPr>
              <w:tabs>
                <w:tab w:val="left" w:pos="1080"/>
                <w:tab w:val="left" w:pos="1440"/>
                <w:tab w:val="left" w:pos="5040"/>
              </w:tabs>
            </w:pPr>
          </w:p>
        </w:tc>
        <w:tc>
          <w:tcPr>
            <w:tcW w:w="4500" w:type="dxa"/>
            <w:tcBorders>
              <w:top w:val="single" w:sz="4" w:space="0" w:color="auto"/>
              <w:left w:val="single" w:sz="4" w:space="0" w:color="auto"/>
              <w:bottom w:val="single" w:sz="4" w:space="0" w:color="auto"/>
              <w:right w:val="single" w:sz="4" w:space="0" w:color="auto"/>
            </w:tcBorders>
          </w:tcPr>
          <w:p w14:paraId="0786EBC2" w14:textId="77777777" w:rsidR="001454BD" w:rsidRDefault="001454BD" w:rsidP="001454BD">
            <w:pPr>
              <w:pStyle w:val="Heading1"/>
              <w:keepLines w:val="0"/>
              <w:numPr>
                <w:ilvl w:val="0"/>
                <w:numId w:val="16"/>
              </w:numPr>
              <w:rPr>
                <w:b w:val="0"/>
                <w:bCs/>
                <w:sz w:val="24"/>
                <w:szCs w:val="24"/>
              </w:rPr>
            </w:pPr>
            <w:r>
              <w:rPr>
                <w:b w:val="0"/>
                <w:bCs/>
                <w:sz w:val="24"/>
                <w:szCs w:val="24"/>
              </w:rPr>
              <w:t>Monetary and fiscal policy</w:t>
            </w:r>
          </w:p>
          <w:p w14:paraId="5E0F148B" w14:textId="77777777" w:rsidR="001454BD" w:rsidRDefault="001454BD" w:rsidP="001454BD">
            <w:pPr>
              <w:pStyle w:val="Heading1"/>
              <w:keepLines w:val="0"/>
              <w:numPr>
                <w:ilvl w:val="0"/>
                <w:numId w:val="16"/>
              </w:numPr>
              <w:rPr>
                <w:b w:val="0"/>
                <w:sz w:val="24"/>
                <w:szCs w:val="24"/>
              </w:rPr>
            </w:pPr>
            <w:r>
              <w:rPr>
                <w:b w:val="0"/>
                <w:sz w:val="24"/>
                <w:szCs w:val="24"/>
              </w:rPr>
              <w:t>Government budgets and national debt</w:t>
            </w:r>
          </w:p>
          <w:p w14:paraId="0393F2A4" w14:textId="77777777" w:rsidR="001454BD" w:rsidRDefault="001454BD">
            <w:pPr>
              <w:pStyle w:val="ListParagraph"/>
            </w:pPr>
          </w:p>
        </w:tc>
        <w:tc>
          <w:tcPr>
            <w:tcW w:w="2826" w:type="dxa"/>
            <w:tcBorders>
              <w:top w:val="single" w:sz="4" w:space="0" w:color="auto"/>
              <w:left w:val="single" w:sz="4" w:space="0" w:color="auto"/>
              <w:bottom w:val="single" w:sz="4" w:space="0" w:color="auto"/>
              <w:right w:val="single" w:sz="4" w:space="0" w:color="auto"/>
            </w:tcBorders>
            <w:hideMark/>
          </w:tcPr>
          <w:p w14:paraId="5DD01E65" w14:textId="77777777" w:rsidR="001454BD" w:rsidRDefault="001454BD">
            <w:pPr>
              <w:tabs>
                <w:tab w:val="left" w:pos="1080"/>
                <w:tab w:val="left" w:pos="5940"/>
              </w:tabs>
              <w:ind w:right="720"/>
            </w:pPr>
            <w:r>
              <w:t>Quiz</w:t>
            </w:r>
          </w:p>
          <w:p w14:paraId="142AF7F7" w14:textId="77777777" w:rsidR="001454BD" w:rsidRDefault="001454BD">
            <w:pPr>
              <w:tabs>
                <w:tab w:val="left" w:pos="1080"/>
                <w:tab w:val="left" w:pos="5940"/>
              </w:tabs>
              <w:ind w:right="720"/>
            </w:pPr>
            <w:r>
              <w:t>Short paper</w:t>
            </w:r>
          </w:p>
        </w:tc>
      </w:tr>
      <w:tr w:rsidR="001454BD" w14:paraId="269926C2" w14:textId="77777777">
        <w:tc>
          <w:tcPr>
            <w:tcW w:w="2538" w:type="dxa"/>
            <w:tcBorders>
              <w:top w:val="single" w:sz="4" w:space="0" w:color="auto"/>
              <w:left w:val="single" w:sz="4" w:space="0" w:color="auto"/>
              <w:bottom w:val="single" w:sz="4" w:space="0" w:color="auto"/>
              <w:right w:val="single" w:sz="4" w:space="0" w:color="auto"/>
            </w:tcBorders>
            <w:hideMark/>
          </w:tcPr>
          <w:p w14:paraId="01578240" w14:textId="2EB7F937" w:rsidR="001454BD" w:rsidRDefault="001454BD">
            <w:pPr>
              <w:pStyle w:val="Heading1"/>
              <w:rPr>
                <w:b w:val="0"/>
                <w:sz w:val="24"/>
                <w:szCs w:val="24"/>
              </w:rPr>
            </w:pPr>
            <w:r>
              <w:rPr>
                <w:b w:val="0"/>
                <w:sz w:val="24"/>
                <w:szCs w:val="24"/>
              </w:rPr>
              <w:t>Week 12:</w:t>
            </w:r>
          </w:p>
        </w:tc>
        <w:tc>
          <w:tcPr>
            <w:tcW w:w="4500" w:type="dxa"/>
            <w:tcBorders>
              <w:top w:val="single" w:sz="4" w:space="0" w:color="auto"/>
              <w:left w:val="single" w:sz="4" w:space="0" w:color="auto"/>
              <w:bottom w:val="single" w:sz="4" w:space="0" w:color="auto"/>
              <w:right w:val="single" w:sz="4" w:space="0" w:color="auto"/>
            </w:tcBorders>
            <w:hideMark/>
          </w:tcPr>
          <w:p w14:paraId="152C9344" w14:textId="77777777" w:rsidR="001454BD" w:rsidRDefault="001454BD" w:rsidP="001454BD">
            <w:pPr>
              <w:pStyle w:val="ListParagraph"/>
              <w:numPr>
                <w:ilvl w:val="0"/>
                <w:numId w:val="16"/>
              </w:numPr>
              <w:contextualSpacing w:val="0"/>
            </w:pPr>
            <w:r>
              <w:t>International trade and exchange rates</w:t>
            </w:r>
          </w:p>
          <w:p w14:paraId="6A1A4C27" w14:textId="77777777" w:rsidR="001454BD" w:rsidRDefault="001454BD" w:rsidP="001454BD">
            <w:pPr>
              <w:pStyle w:val="ListParagraph"/>
              <w:numPr>
                <w:ilvl w:val="0"/>
                <w:numId w:val="16"/>
              </w:numPr>
              <w:contextualSpacing w:val="0"/>
            </w:pPr>
            <w:r>
              <w:t>International trade and exchange rates</w:t>
            </w:r>
          </w:p>
        </w:tc>
        <w:tc>
          <w:tcPr>
            <w:tcW w:w="2826" w:type="dxa"/>
            <w:tcBorders>
              <w:top w:val="single" w:sz="4" w:space="0" w:color="auto"/>
              <w:left w:val="single" w:sz="4" w:space="0" w:color="auto"/>
              <w:bottom w:val="single" w:sz="4" w:space="0" w:color="auto"/>
              <w:right w:val="single" w:sz="4" w:space="0" w:color="auto"/>
            </w:tcBorders>
          </w:tcPr>
          <w:p w14:paraId="0DE85F35" w14:textId="77777777" w:rsidR="001454BD" w:rsidRDefault="001454BD">
            <w:pPr>
              <w:pStyle w:val="Heading1"/>
              <w:rPr>
                <w:b w:val="0"/>
                <w:sz w:val="24"/>
                <w:szCs w:val="24"/>
              </w:rPr>
            </w:pPr>
          </w:p>
        </w:tc>
      </w:tr>
      <w:tr w:rsidR="001454BD" w14:paraId="262DDDA9" w14:textId="77777777">
        <w:tc>
          <w:tcPr>
            <w:tcW w:w="2538" w:type="dxa"/>
            <w:tcBorders>
              <w:top w:val="single" w:sz="4" w:space="0" w:color="auto"/>
              <w:left w:val="single" w:sz="4" w:space="0" w:color="auto"/>
              <w:bottom w:val="single" w:sz="4" w:space="0" w:color="auto"/>
              <w:right w:val="single" w:sz="4" w:space="0" w:color="auto"/>
            </w:tcBorders>
            <w:hideMark/>
          </w:tcPr>
          <w:p w14:paraId="1676079F" w14:textId="62E087DF" w:rsidR="001454BD" w:rsidRDefault="001454BD">
            <w:pPr>
              <w:pStyle w:val="Heading1"/>
              <w:rPr>
                <w:b w:val="0"/>
                <w:sz w:val="24"/>
                <w:szCs w:val="24"/>
              </w:rPr>
            </w:pPr>
            <w:r>
              <w:rPr>
                <w:b w:val="0"/>
                <w:sz w:val="24"/>
                <w:szCs w:val="24"/>
              </w:rPr>
              <w:t xml:space="preserve">Week 13:    </w:t>
            </w:r>
          </w:p>
        </w:tc>
        <w:tc>
          <w:tcPr>
            <w:tcW w:w="4500" w:type="dxa"/>
            <w:tcBorders>
              <w:top w:val="single" w:sz="4" w:space="0" w:color="auto"/>
              <w:left w:val="single" w:sz="4" w:space="0" w:color="auto"/>
              <w:bottom w:val="single" w:sz="4" w:space="0" w:color="auto"/>
              <w:right w:val="single" w:sz="4" w:space="0" w:color="auto"/>
            </w:tcBorders>
          </w:tcPr>
          <w:p w14:paraId="490F0B92" w14:textId="77777777" w:rsidR="001454BD" w:rsidRDefault="001454BD" w:rsidP="001454BD">
            <w:pPr>
              <w:pStyle w:val="Heading1"/>
              <w:keepLines w:val="0"/>
              <w:numPr>
                <w:ilvl w:val="0"/>
                <w:numId w:val="17"/>
              </w:numPr>
              <w:rPr>
                <w:b w:val="0"/>
                <w:bCs/>
                <w:sz w:val="24"/>
                <w:szCs w:val="24"/>
              </w:rPr>
            </w:pPr>
            <w:r>
              <w:rPr>
                <w:b w:val="0"/>
                <w:bCs/>
                <w:sz w:val="24"/>
                <w:szCs w:val="24"/>
              </w:rPr>
              <w:t>International trade and exchange rates</w:t>
            </w:r>
          </w:p>
          <w:p w14:paraId="613BAB57" w14:textId="77777777" w:rsidR="001454BD" w:rsidRDefault="001454BD" w:rsidP="001454BD">
            <w:pPr>
              <w:pStyle w:val="Heading1"/>
              <w:keepLines w:val="0"/>
              <w:numPr>
                <w:ilvl w:val="0"/>
                <w:numId w:val="17"/>
              </w:numPr>
              <w:rPr>
                <w:b w:val="0"/>
                <w:sz w:val="24"/>
                <w:szCs w:val="24"/>
              </w:rPr>
            </w:pPr>
            <w:r>
              <w:rPr>
                <w:b w:val="0"/>
                <w:sz w:val="24"/>
                <w:szCs w:val="24"/>
              </w:rPr>
              <w:t>Trading country policy case study</w:t>
            </w:r>
          </w:p>
          <w:p w14:paraId="49291780" w14:textId="77777777" w:rsidR="001454BD" w:rsidRDefault="001454BD">
            <w:pPr>
              <w:pStyle w:val="Heading1"/>
              <w:ind w:left="720"/>
              <w:rPr>
                <w:i/>
                <w:sz w:val="20"/>
                <w:szCs w:val="20"/>
              </w:rPr>
            </w:pPr>
          </w:p>
        </w:tc>
        <w:tc>
          <w:tcPr>
            <w:tcW w:w="2826" w:type="dxa"/>
            <w:tcBorders>
              <w:top w:val="single" w:sz="4" w:space="0" w:color="auto"/>
              <w:left w:val="single" w:sz="4" w:space="0" w:color="auto"/>
              <w:bottom w:val="single" w:sz="4" w:space="0" w:color="auto"/>
              <w:right w:val="single" w:sz="4" w:space="0" w:color="auto"/>
            </w:tcBorders>
          </w:tcPr>
          <w:p w14:paraId="48775CBF" w14:textId="77777777" w:rsidR="001454BD" w:rsidRDefault="001454BD">
            <w:pPr>
              <w:pStyle w:val="Heading1"/>
              <w:rPr>
                <w:b w:val="0"/>
                <w:sz w:val="24"/>
                <w:szCs w:val="24"/>
              </w:rPr>
            </w:pPr>
          </w:p>
        </w:tc>
      </w:tr>
      <w:tr w:rsidR="001454BD" w14:paraId="707FBB4F" w14:textId="77777777">
        <w:tc>
          <w:tcPr>
            <w:tcW w:w="2538" w:type="dxa"/>
            <w:tcBorders>
              <w:top w:val="single" w:sz="4" w:space="0" w:color="auto"/>
              <w:left w:val="single" w:sz="4" w:space="0" w:color="auto"/>
              <w:bottom w:val="single" w:sz="4" w:space="0" w:color="auto"/>
              <w:right w:val="single" w:sz="4" w:space="0" w:color="auto"/>
            </w:tcBorders>
            <w:hideMark/>
          </w:tcPr>
          <w:p w14:paraId="489D60CE" w14:textId="77777777" w:rsidR="001454BD" w:rsidRDefault="001454BD">
            <w:pPr>
              <w:pStyle w:val="Heading1"/>
              <w:rPr>
                <w:b w:val="0"/>
                <w:sz w:val="24"/>
                <w:szCs w:val="24"/>
              </w:rPr>
            </w:pPr>
            <w:r>
              <w:rPr>
                <w:b w:val="0"/>
                <w:sz w:val="24"/>
                <w:szCs w:val="24"/>
              </w:rPr>
              <w:t>Week 14:</w:t>
            </w:r>
          </w:p>
          <w:p w14:paraId="58979274" w14:textId="5AC96E7F" w:rsidR="001454BD" w:rsidRDefault="001454BD"/>
        </w:tc>
        <w:tc>
          <w:tcPr>
            <w:tcW w:w="4500" w:type="dxa"/>
            <w:tcBorders>
              <w:top w:val="single" w:sz="4" w:space="0" w:color="auto"/>
              <w:left w:val="single" w:sz="4" w:space="0" w:color="auto"/>
              <w:bottom w:val="single" w:sz="4" w:space="0" w:color="auto"/>
              <w:right w:val="single" w:sz="4" w:space="0" w:color="auto"/>
            </w:tcBorders>
            <w:hideMark/>
          </w:tcPr>
          <w:p w14:paraId="49DA6141" w14:textId="77777777" w:rsidR="001454BD" w:rsidRDefault="001454BD" w:rsidP="001454BD">
            <w:pPr>
              <w:pStyle w:val="ListParagraph"/>
              <w:numPr>
                <w:ilvl w:val="0"/>
                <w:numId w:val="17"/>
              </w:numPr>
              <w:contextualSpacing w:val="0"/>
            </w:pPr>
            <w:r>
              <w:t>Trade and protectionism</w:t>
            </w:r>
          </w:p>
          <w:p w14:paraId="59D1D0C8" w14:textId="77777777" w:rsidR="001454BD" w:rsidRDefault="001454BD" w:rsidP="001454BD">
            <w:pPr>
              <w:pStyle w:val="ListParagraph"/>
              <w:numPr>
                <w:ilvl w:val="0"/>
                <w:numId w:val="17"/>
              </w:numPr>
              <w:contextualSpacing w:val="0"/>
            </w:pPr>
            <w:r>
              <w:t>Global food security</w:t>
            </w:r>
          </w:p>
        </w:tc>
        <w:tc>
          <w:tcPr>
            <w:tcW w:w="2826" w:type="dxa"/>
            <w:tcBorders>
              <w:top w:val="single" w:sz="4" w:space="0" w:color="auto"/>
              <w:left w:val="single" w:sz="4" w:space="0" w:color="auto"/>
              <w:bottom w:val="single" w:sz="4" w:space="0" w:color="auto"/>
              <w:right w:val="single" w:sz="4" w:space="0" w:color="auto"/>
            </w:tcBorders>
            <w:hideMark/>
          </w:tcPr>
          <w:p w14:paraId="61435E26" w14:textId="77777777" w:rsidR="001454BD" w:rsidRDefault="001454BD">
            <w:pPr>
              <w:pStyle w:val="Heading1"/>
              <w:rPr>
                <w:b w:val="0"/>
                <w:sz w:val="24"/>
                <w:szCs w:val="24"/>
              </w:rPr>
            </w:pPr>
            <w:r>
              <w:rPr>
                <w:b w:val="0"/>
                <w:sz w:val="24"/>
                <w:szCs w:val="24"/>
              </w:rPr>
              <w:t>Quiz</w:t>
            </w:r>
          </w:p>
        </w:tc>
      </w:tr>
      <w:tr w:rsidR="001454BD" w14:paraId="5A4907C8" w14:textId="77777777">
        <w:tc>
          <w:tcPr>
            <w:tcW w:w="2538" w:type="dxa"/>
            <w:tcBorders>
              <w:top w:val="single" w:sz="4" w:space="0" w:color="auto"/>
              <w:left w:val="single" w:sz="4" w:space="0" w:color="auto"/>
              <w:bottom w:val="single" w:sz="4" w:space="0" w:color="auto"/>
              <w:right w:val="single" w:sz="4" w:space="0" w:color="auto"/>
            </w:tcBorders>
            <w:hideMark/>
          </w:tcPr>
          <w:p w14:paraId="44D43465" w14:textId="41FD5E52" w:rsidR="001454BD" w:rsidRDefault="001454BD" w:rsidP="001454BD">
            <w:pPr>
              <w:pStyle w:val="Heading1"/>
              <w:rPr>
                <w:b w:val="0"/>
                <w:sz w:val="24"/>
                <w:szCs w:val="24"/>
              </w:rPr>
            </w:pPr>
            <w:r>
              <w:rPr>
                <w:b w:val="0"/>
                <w:sz w:val="24"/>
                <w:szCs w:val="24"/>
              </w:rPr>
              <w:t xml:space="preserve">Week 15: </w:t>
            </w:r>
          </w:p>
        </w:tc>
        <w:tc>
          <w:tcPr>
            <w:tcW w:w="4500" w:type="dxa"/>
            <w:tcBorders>
              <w:top w:val="single" w:sz="4" w:space="0" w:color="auto"/>
              <w:left w:val="single" w:sz="4" w:space="0" w:color="auto"/>
              <w:bottom w:val="single" w:sz="4" w:space="0" w:color="auto"/>
              <w:right w:val="single" w:sz="4" w:space="0" w:color="auto"/>
            </w:tcBorders>
            <w:hideMark/>
          </w:tcPr>
          <w:p w14:paraId="1BEAE5EE" w14:textId="77777777" w:rsidR="001454BD" w:rsidRDefault="001454BD" w:rsidP="001454BD">
            <w:pPr>
              <w:pStyle w:val="ListParagraph"/>
              <w:numPr>
                <w:ilvl w:val="0"/>
                <w:numId w:val="18"/>
              </w:numPr>
              <w:tabs>
                <w:tab w:val="left" w:pos="1260"/>
                <w:tab w:val="left" w:pos="1710"/>
                <w:tab w:val="left" w:pos="5490"/>
                <w:tab w:val="left" w:pos="5580"/>
              </w:tabs>
              <w:contextualSpacing w:val="0"/>
            </w:pPr>
            <w:r>
              <w:t>Course overview</w:t>
            </w:r>
          </w:p>
        </w:tc>
        <w:tc>
          <w:tcPr>
            <w:tcW w:w="2826" w:type="dxa"/>
            <w:tcBorders>
              <w:top w:val="single" w:sz="4" w:space="0" w:color="auto"/>
              <w:left w:val="single" w:sz="4" w:space="0" w:color="auto"/>
              <w:bottom w:val="single" w:sz="4" w:space="0" w:color="auto"/>
              <w:right w:val="single" w:sz="4" w:space="0" w:color="auto"/>
            </w:tcBorders>
          </w:tcPr>
          <w:p w14:paraId="1D8389C5" w14:textId="77777777" w:rsidR="001454BD" w:rsidRDefault="001454BD">
            <w:pPr>
              <w:tabs>
                <w:tab w:val="left" w:pos="1260"/>
                <w:tab w:val="left" w:pos="1710"/>
                <w:tab w:val="left" w:pos="5490"/>
                <w:tab w:val="left" w:pos="5580"/>
              </w:tabs>
            </w:pPr>
          </w:p>
        </w:tc>
      </w:tr>
    </w:tbl>
    <w:p w14:paraId="3EBC6CDB" w14:textId="77777777" w:rsidR="001454BD" w:rsidRDefault="001454BD" w:rsidP="001454BD">
      <w:pPr>
        <w:tabs>
          <w:tab w:val="left" w:pos="-720"/>
          <w:tab w:val="left" w:pos="0"/>
          <w:tab w:val="left" w:pos="720"/>
        </w:tabs>
        <w:suppressAutoHyphens/>
        <w:spacing w:line="240" w:lineRule="atLeast"/>
        <w:ind w:left="720" w:hanging="720"/>
        <w:rPr>
          <w:b/>
          <w:bCs/>
          <w:spacing w:val="-3"/>
          <w:u w:val="single"/>
        </w:rPr>
      </w:pPr>
    </w:p>
    <w:p w14:paraId="5DA8E84C" w14:textId="77777777" w:rsidR="001454BD" w:rsidRDefault="001454BD" w:rsidP="001454BD">
      <w:pPr>
        <w:pStyle w:val="Heading2"/>
        <w:rPr>
          <w:spacing w:val="-3"/>
          <w:sz w:val="24"/>
          <w:szCs w:val="24"/>
        </w:rPr>
      </w:pPr>
    </w:p>
    <w:p w14:paraId="78D700A7" w14:textId="77777777" w:rsidR="00A3101E" w:rsidRPr="001F6F76" w:rsidRDefault="00A3101E" w:rsidP="001F6F76">
      <w:pPr>
        <w:rPr>
          <w:b/>
          <w:bCs/>
        </w:rPr>
      </w:pPr>
    </w:p>
    <w:p w14:paraId="6B40F4CF" w14:textId="77777777" w:rsidR="00A3101E" w:rsidRDefault="00A07477" w:rsidP="00AA286F">
      <w:pPr>
        <w:pStyle w:val="Heading2"/>
      </w:pPr>
      <w:r>
        <w:t>Final Exam/Paper Date and Time</w:t>
      </w:r>
    </w:p>
    <w:p w14:paraId="1C46B99F" w14:textId="795E941C" w:rsidR="008B6564" w:rsidRPr="001454BD" w:rsidRDefault="00000000" w:rsidP="001454BD">
      <w:pPr>
        <w:tabs>
          <w:tab w:val="left" w:pos="3900"/>
        </w:tabs>
        <w:rPr>
          <w:b/>
          <w:bCs/>
          <w:caps/>
        </w:rPr>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2" w:history="1">
            <w:r w:rsidR="00921D9B" w:rsidRPr="001454BD">
              <w:rPr>
                <w:rStyle w:val="Hyperlink"/>
              </w:rPr>
              <w:t>http://finalexams.rutgers.edu/</w:t>
            </w:r>
          </w:hyperlink>
        </w:sdtContent>
      </w:sdt>
      <w:r w:rsidR="00921D9B" w:rsidRPr="001454BD">
        <w:t xml:space="preserve">         </w:t>
      </w:r>
    </w:p>
    <w:p w14:paraId="64F93238" w14:textId="77777777" w:rsidR="001454BD" w:rsidRDefault="001454BD" w:rsidP="00AA286F">
      <w:pPr>
        <w:pStyle w:val="Heading2"/>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3"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lastRenderedPageBreak/>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4"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5"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6"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7"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w:t>
      </w:r>
      <w:r>
        <w:rPr>
          <w:rStyle w:val="Style2"/>
        </w:rPr>
        <w:lastRenderedPageBreak/>
        <w:t xml:space="preserve">interview, and provide documentation: </w:t>
      </w:r>
      <w:hyperlink r:id="rId18"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19"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0"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1"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2">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3"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4"/>
      <w:footerReference w:type="default" r:id="rId25"/>
      <w:head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BAF4" w14:textId="77777777" w:rsidR="0095280D" w:rsidRDefault="0095280D">
      <w:r>
        <w:separator/>
      </w:r>
    </w:p>
  </w:endnote>
  <w:endnote w:type="continuationSeparator" w:id="0">
    <w:p w14:paraId="3FAF65E0" w14:textId="77777777" w:rsidR="0095280D" w:rsidRDefault="0095280D">
      <w:r>
        <w:continuationSeparator/>
      </w:r>
    </w:p>
  </w:endnote>
  <w:endnote w:type="continuationNotice" w:id="1">
    <w:p w14:paraId="34E80083" w14:textId="77777777" w:rsidR="0095280D" w:rsidRDefault="00952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939E" w14:textId="77777777" w:rsidR="0095280D" w:rsidRDefault="0095280D">
      <w:r>
        <w:separator/>
      </w:r>
    </w:p>
  </w:footnote>
  <w:footnote w:type="continuationSeparator" w:id="0">
    <w:p w14:paraId="05040435" w14:textId="77777777" w:rsidR="0095280D" w:rsidRDefault="0095280D">
      <w:r>
        <w:continuationSeparator/>
      </w:r>
    </w:p>
  </w:footnote>
  <w:footnote w:type="continuationNotice" w:id="1">
    <w:p w14:paraId="631906C1" w14:textId="77777777" w:rsidR="0095280D" w:rsidRDefault="00952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720011">
    <w:abstractNumId w:val="4"/>
  </w:num>
  <w:num w:numId="2" w16cid:durableId="944726977">
    <w:abstractNumId w:val="2"/>
  </w:num>
  <w:num w:numId="3" w16cid:durableId="22633558">
    <w:abstractNumId w:val="2"/>
  </w:num>
  <w:num w:numId="4" w16cid:durableId="29965072">
    <w:abstractNumId w:val="7"/>
  </w:num>
  <w:num w:numId="5" w16cid:durableId="395132139">
    <w:abstractNumId w:val="5"/>
  </w:num>
  <w:num w:numId="6" w16cid:durableId="65227288">
    <w:abstractNumId w:val="5"/>
  </w:num>
  <w:num w:numId="7" w16cid:durableId="118031469">
    <w:abstractNumId w:val="3"/>
  </w:num>
  <w:num w:numId="8" w16cid:durableId="1041906335">
    <w:abstractNumId w:val="0"/>
  </w:num>
  <w:num w:numId="9" w16cid:durableId="320163952">
    <w:abstractNumId w:val="0"/>
  </w:num>
  <w:num w:numId="10" w16cid:durableId="2053069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6"/>
  </w:num>
  <w:num w:numId="13" w16cid:durableId="1097559782">
    <w:abstractNumId w:val="9"/>
  </w:num>
  <w:num w:numId="14" w16cid:durableId="469834322">
    <w:abstractNumId w:val="10"/>
  </w:num>
  <w:num w:numId="15" w16cid:durableId="2021732300">
    <w:abstractNumId w:val="11"/>
  </w:num>
  <w:num w:numId="16" w16cid:durableId="709232823">
    <w:abstractNumId w:val="8"/>
  </w:num>
  <w:num w:numId="17" w16cid:durableId="720907609">
    <w:abstractNumId w:val="14"/>
  </w:num>
  <w:num w:numId="18" w16cid:durableId="23894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6557"/>
    <w:rsid w:val="001126FA"/>
    <w:rsid w:val="00122360"/>
    <w:rsid w:val="001262F8"/>
    <w:rsid w:val="00127C80"/>
    <w:rsid w:val="00143ADB"/>
    <w:rsid w:val="001454BD"/>
    <w:rsid w:val="00153985"/>
    <w:rsid w:val="00157DC5"/>
    <w:rsid w:val="00180947"/>
    <w:rsid w:val="00186059"/>
    <w:rsid w:val="001A299D"/>
    <w:rsid w:val="001A365C"/>
    <w:rsid w:val="001C2138"/>
    <w:rsid w:val="001E6E26"/>
    <w:rsid w:val="001F6F76"/>
    <w:rsid w:val="00211025"/>
    <w:rsid w:val="0022266F"/>
    <w:rsid w:val="002336C1"/>
    <w:rsid w:val="0025088B"/>
    <w:rsid w:val="00262ECE"/>
    <w:rsid w:val="002639E3"/>
    <w:rsid w:val="002757B7"/>
    <w:rsid w:val="00283E01"/>
    <w:rsid w:val="002C7100"/>
    <w:rsid w:val="002D7534"/>
    <w:rsid w:val="002E415E"/>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669E"/>
    <w:rsid w:val="00584D68"/>
    <w:rsid w:val="005C5516"/>
    <w:rsid w:val="005E4B9C"/>
    <w:rsid w:val="005F5F8B"/>
    <w:rsid w:val="005F64DF"/>
    <w:rsid w:val="0060182A"/>
    <w:rsid w:val="006050C7"/>
    <w:rsid w:val="0061182B"/>
    <w:rsid w:val="006208B9"/>
    <w:rsid w:val="006538C6"/>
    <w:rsid w:val="006568A1"/>
    <w:rsid w:val="0066152B"/>
    <w:rsid w:val="006632AF"/>
    <w:rsid w:val="0067582B"/>
    <w:rsid w:val="006C15F8"/>
    <w:rsid w:val="0070101B"/>
    <w:rsid w:val="0070627B"/>
    <w:rsid w:val="00732D84"/>
    <w:rsid w:val="00752C44"/>
    <w:rsid w:val="007533A4"/>
    <w:rsid w:val="0075348C"/>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280D"/>
    <w:rsid w:val="00961125"/>
    <w:rsid w:val="00965E0D"/>
    <w:rsid w:val="009720A7"/>
    <w:rsid w:val="00975614"/>
    <w:rsid w:val="00981850"/>
    <w:rsid w:val="009823FF"/>
    <w:rsid w:val="00984C1B"/>
    <w:rsid w:val="009955E6"/>
    <w:rsid w:val="009B2135"/>
    <w:rsid w:val="009C6461"/>
    <w:rsid w:val="009F0B29"/>
    <w:rsid w:val="009F0C35"/>
    <w:rsid w:val="009F640A"/>
    <w:rsid w:val="00A04A42"/>
    <w:rsid w:val="00A07477"/>
    <w:rsid w:val="00A1610B"/>
    <w:rsid w:val="00A21482"/>
    <w:rsid w:val="00A3101E"/>
    <w:rsid w:val="00A4103C"/>
    <w:rsid w:val="00A520DC"/>
    <w:rsid w:val="00A53BAF"/>
    <w:rsid w:val="00AA286F"/>
    <w:rsid w:val="00AC1CC3"/>
    <w:rsid w:val="00AC6A18"/>
    <w:rsid w:val="00AF2A35"/>
    <w:rsid w:val="00B17508"/>
    <w:rsid w:val="00B24F78"/>
    <w:rsid w:val="00B30558"/>
    <w:rsid w:val="00B54010"/>
    <w:rsid w:val="00B65AF6"/>
    <w:rsid w:val="00B6692E"/>
    <w:rsid w:val="00B6796C"/>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5247"/>
    <w:rsid w:val="00D17FBE"/>
    <w:rsid w:val="00D22E35"/>
    <w:rsid w:val="00D56089"/>
    <w:rsid w:val="00D63776"/>
    <w:rsid w:val="00D751FA"/>
    <w:rsid w:val="00D86EBE"/>
    <w:rsid w:val="00DC2744"/>
    <w:rsid w:val="00DD023E"/>
    <w:rsid w:val="00E040AB"/>
    <w:rsid w:val="00E12F6B"/>
    <w:rsid w:val="00E21ABF"/>
    <w:rsid w:val="00E25DBA"/>
    <w:rsid w:val="00E6364B"/>
    <w:rsid w:val="00E74904"/>
    <w:rsid w:val="00E94D5A"/>
    <w:rsid w:val="00EB3271"/>
    <w:rsid w:val="00EE5780"/>
    <w:rsid w:val="00F0502E"/>
    <w:rsid w:val="00F17E89"/>
    <w:rsid w:val="00F360B4"/>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s://academicintegrity.rutgers.edu/sites/default/files/pdfs/current.pdf" TargetMode="External"/><Relationship Id="rId18" Type="http://schemas.openxmlformats.org/officeDocument/2006/relationships/hyperlink" Target="https://ods.rutgers.edu/students/documentation-guideli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health.rutgers.edu/health-education-and-promotion/self-help/self-help-apps" TargetMode="External"/><Relationship Id="rId7" Type="http://schemas.openxmlformats.org/officeDocument/2006/relationships/endnotes" Target="endnotes.xml"/><Relationship Id="rId12" Type="http://schemas.openxmlformats.org/officeDocument/2006/relationships/hyperlink" Target="http://finalexams.rutgers.edu/" TargetMode="External"/><Relationship Id="rId17" Type="http://schemas.openxmlformats.org/officeDocument/2006/relationships/hyperlink" Target="https://ods.rutgers.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va.rutgers.edu/" TargetMode="External"/><Relationship Id="rId20" Type="http://schemas.openxmlformats.org/officeDocument/2006/relationships/hyperlink" Target="https://health.rutgers.edu/health-education-and-promotion/health-promotion-peer-education/wellness-coach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hscaps.rutgers.edu/" TargetMode="External"/><Relationship Id="rId23" Type="http://schemas.openxmlformats.org/officeDocument/2006/relationships/hyperlink" Target="https://deanofstudents.rutgers.edu/" TargetMode="External"/><Relationship Id="rId28" Type="http://schemas.openxmlformats.org/officeDocument/2006/relationships/glossaryDocument" Target="glossary/document.xml"/><Relationship Id="rId10" Type="http://schemas.openxmlformats.org/officeDocument/2006/relationships/hyperlink" Target="https://ods.rutgers.edu/students/getting-registered" TargetMode="External"/><Relationship Id="rId19" Type="http://schemas.openxmlformats.org/officeDocument/2006/relationships/hyperlink" Target="http://health.rutgers.edu/do-something-to-hel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nclusion.rutgers.edu/report-bias-incident/" TargetMode="External"/><Relationship Id="rId22" Type="http://schemas.openxmlformats.org/officeDocument/2006/relationships/hyperlink" Target="http://ruoffcampus.rutgers.edu/foo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13104B"/>
    <w:rsid w:val="00143ADB"/>
    <w:rsid w:val="001540FF"/>
    <w:rsid w:val="001D1FA4"/>
    <w:rsid w:val="001D7E7F"/>
    <w:rsid w:val="001E5A75"/>
    <w:rsid w:val="00262ECE"/>
    <w:rsid w:val="002903EE"/>
    <w:rsid w:val="002D3A2F"/>
    <w:rsid w:val="002E7991"/>
    <w:rsid w:val="00326AD4"/>
    <w:rsid w:val="00346447"/>
    <w:rsid w:val="0040795C"/>
    <w:rsid w:val="00407A73"/>
    <w:rsid w:val="00434A3D"/>
    <w:rsid w:val="00476569"/>
    <w:rsid w:val="00511278"/>
    <w:rsid w:val="00556A11"/>
    <w:rsid w:val="00593B17"/>
    <w:rsid w:val="0066152B"/>
    <w:rsid w:val="00664607"/>
    <w:rsid w:val="00675401"/>
    <w:rsid w:val="00740CE8"/>
    <w:rsid w:val="00784140"/>
    <w:rsid w:val="007E458E"/>
    <w:rsid w:val="00825746"/>
    <w:rsid w:val="008634E5"/>
    <w:rsid w:val="0096771A"/>
    <w:rsid w:val="00976B76"/>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C9D"/>
    <w:rPr>
      <w:color w:val="808080"/>
    </w:rPr>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4</cp:revision>
  <dcterms:created xsi:type="dcterms:W3CDTF">2026-01-14T20:34:00Z</dcterms:created>
  <dcterms:modified xsi:type="dcterms:W3CDTF">2026-02-27T07:19:00Z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